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b/>
          <w:b/>
          <w:sz w:val="24"/>
          <w:szCs w:val="24"/>
        </w:rPr>
      </w:pPr>
      <w:r>
        <w:rPr>
          <w:b/>
          <w:sz w:val="24"/>
          <w:szCs w:val="24"/>
          <w:lang w:val="de-DE"/>
        </w:rPr>
        <w:t>С</w:t>
      </w:r>
      <w:r>
        <w:rPr>
          <w:b/>
          <w:sz w:val="24"/>
          <w:szCs w:val="24"/>
        </w:rPr>
        <w:t>анкт-Петербургский государственный университет и Центр языкового тестирования СПбГУ</w:t>
      </w:r>
    </w:p>
    <w:p>
      <w:pPr>
        <w:pStyle w:val="Normal"/>
        <w:widowControl w:val="false"/>
        <w:jc w:val="both"/>
        <w:rPr>
          <w:rFonts w:eastAsia="Times New Roman"/>
          <w:sz w:val="24"/>
          <w:szCs w:val="24"/>
          <w:lang w:eastAsia="ru-RU"/>
        </w:rPr>
      </w:pPr>
      <w:r>
        <w:rPr>
          <w:rFonts w:eastAsia="Times New Roman"/>
          <w:sz w:val="24"/>
          <w:szCs w:val="24"/>
          <w:lang w:eastAsia="ru-RU"/>
        </w:rPr>
        <w:t>Санкт-Петербургский Государственный Университет (СПбГУ) является первым университетом России. Он учрежден 22 января 1724 г. указом императора Петра I. На сегодняшний день на 23 учебно-научных подразделениях университета обучаются более 30 тысяч студентов и аспирантов. С 2018 г. СПбГУ неизменно остается самым привлекательным вузом для иностранных граждан, приезжаю в России для обучения.</w:t>
      </w:r>
    </w:p>
    <w:p>
      <w:pPr>
        <w:pStyle w:val="Normal"/>
        <w:widowControl w:val="false"/>
        <w:jc w:val="both"/>
        <w:rPr>
          <w:rFonts w:eastAsia="Times New Roman"/>
          <w:sz w:val="24"/>
          <w:szCs w:val="24"/>
          <w:lang w:eastAsia="ru-RU"/>
        </w:rPr>
      </w:pPr>
      <w:r>
        <w:rPr>
          <w:rFonts w:eastAsia="Times New Roman"/>
          <w:sz w:val="24"/>
          <w:szCs w:val="24"/>
          <w:lang w:eastAsia="ru-RU"/>
        </w:rPr>
        <w:t xml:space="preserve">Университет дает широкие возможности для иностранцев познакомиться с русским языком и прикоснуться к русской культуре и истории. Вы можете прослушать </w:t>
      </w:r>
      <w:hyperlink r:id="rId2">
        <w:r>
          <w:rPr>
            <w:rStyle w:val="Internetverknpfung"/>
            <w:rFonts w:eastAsia="Times New Roman"/>
            <w:sz w:val="24"/>
            <w:szCs w:val="24"/>
            <w:lang w:eastAsia="ru-RU"/>
          </w:rPr>
          <w:t>онлайн-курсы</w:t>
        </w:r>
      </w:hyperlink>
      <w:r>
        <w:rPr>
          <w:rStyle w:val="Internetverknpfung"/>
        </w:rPr>
        <w:t xml:space="preserve"> СПбГУ,</w:t>
      </w:r>
      <w:r>
        <w:rPr>
          <w:rFonts w:eastAsia="Times New Roman"/>
          <w:sz w:val="24"/>
          <w:szCs w:val="24"/>
          <w:lang w:eastAsia="ru-RU"/>
        </w:rPr>
        <w:t xml:space="preserve"> можно совершить виртуальный </w:t>
      </w:r>
      <w:hyperlink r:id="rId3">
        <w:r>
          <w:rPr>
            <w:rStyle w:val="Internetverknpfung"/>
            <w:rFonts w:eastAsia="Times New Roman"/>
            <w:sz w:val="24"/>
            <w:szCs w:val="24"/>
            <w:lang w:eastAsia="ru-RU"/>
          </w:rPr>
          <w:t>тур по СПбГУ</w:t>
        </w:r>
      </w:hyperlink>
      <w:r>
        <w:rPr>
          <w:rFonts w:eastAsia="Times New Roman"/>
          <w:sz w:val="24"/>
          <w:szCs w:val="24"/>
          <w:lang w:eastAsia="ru-RU"/>
        </w:rPr>
        <w:t xml:space="preserve">, </w:t>
      </w:r>
      <w:hyperlink r:id="rId4">
        <w:r>
          <w:rPr>
            <w:rStyle w:val="Internetverknpfung"/>
            <w:rFonts w:eastAsia="Times New Roman"/>
            <w:sz w:val="24"/>
            <w:szCs w:val="24"/>
            <w:lang w:eastAsia="ru-RU"/>
          </w:rPr>
          <w:t>тур по музеям университета</w:t>
        </w:r>
      </w:hyperlink>
      <w:r>
        <w:rPr>
          <w:rFonts w:eastAsia="Times New Roman"/>
          <w:sz w:val="24"/>
          <w:szCs w:val="24"/>
          <w:lang w:eastAsia="ru-RU"/>
        </w:rPr>
        <w:t xml:space="preserve">,  ознакомиться с </w:t>
      </w:r>
      <w:hyperlink r:id="rId5">
        <w:r>
          <w:rPr>
            <w:rStyle w:val="Internetverknpfung"/>
            <w:rFonts w:eastAsia="Times New Roman"/>
            <w:sz w:val="24"/>
            <w:szCs w:val="24"/>
            <w:lang w:eastAsia="ru-RU"/>
          </w:rPr>
          <w:t>изданиями СПбГУ</w:t>
        </w:r>
      </w:hyperlink>
      <w:r>
        <w:rPr>
          <w:rFonts w:eastAsia="Times New Roman"/>
          <w:sz w:val="24"/>
          <w:szCs w:val="24"/>
          <w:lang w:eastAsia="ru-RU"/>
        </w:rPr>
        <w:t xml:space="preserve">, а также записаться на </w:t>
      </w:r>
      <w:hyperlink r:id="rId6">
        <w:r>
          <w:rPr>
            <w:rStyle w:val="Internetverknpfung"/>
            <w:rFonts w:eastAsia="Times New Roman"/>
            <w:sz w:val="24"/>
            <w:szCs w:val="24"/>
            <w:lang w:eastAsia="ru-RU"/>
          </w:rPr>
          <w:t>дополнительную образовательную программу «Русский как иностранный»</w:t>
        </w:r>
      </w:hyperlink>
      <w:r>
        <w:rPr>
          <w:rFonts w:eastAsia="Times New Roman"/>
          <w:sz w:val="24"/>
          <w:szCs w:val="24"/>
          <w:lang w:eastAsia="ru-RU"/>
        </w:rPr>
        <w:t>.</w:t>
      </w:r>
    </w:p>
    <w:p>
      <w:pPr>
        <w:pStyle w:val="Normal"/>
        <w:widowControl w:val="false"/>
        <w:jc w:val="both"/>
        <w:rPr>
          <w:rFonts w:eastAsia="Times New Roman"/>
          <w:sz w:val="24"/>
          <w:szCs w:val="24"/>
          <w:lang w:eastAsia="ru-RU"/>
        </w:rPr>
      </w:pPr>
      <w:r>
        <w:rPr>
          <w:rFonts w:eastAsia="Times New Roman"/>
          <w:sz w:val="24"/>
          <w:szCs w:val="24"/>
          <w:lang w:eastAsia="ru-RU"/>
        </w:rPr>
        <w:t xml:space="preserve">Центр языкового тестирования СПбГУ был создан 22 августа 1997 года в целях организации и проведения государственного тестирования по русскому языку как иностранному языку (ТРКИ). Вот уже более 20 лет СПбГУ является одним из лидеров в сфере тестирования иностранных граждан </w:t>
      </w:r>
      <w:r>
        <w:rPr>
          <w:sz w:val="24"/>
          <w:szCs w:val="24"/>
        </w:rPr>
        <w:t xml:space="preserve">и оказывает свои услуги физическим лицам и организациям. </w:t>
      </w:r>
    </w:p>
    <w:p>
      <w:pPr>
        <w:pStyle w:val="Normal"/>
        <w:widowControl w:val="false"/>
        <w:spacing w:lineRule="auto" w:line="271"/>
        <w:jc w:val="both"/>
        <w:rPr>
          <w:sz w:val="24"/>
          <w:szCs w:val="24"/>
        </w:rPr>
      </w:pPr>
      <w:r>
        <w:rPr>
          <w:sz w:val="24"/>
          <w:szCs w:val="24"/>
        </w:rPr>
        <w:t>Приказом</w:t>
      </w:r>
      <w:r>
        <w:rPr>
          <w:spacing w:val="20"/>
          <w:sz w:val="24"/>
          <w:szCs w:val="24"/>
        </w:rPr>
        <w:t xml:space="preserve"> </w:t>
      </w:r>
      <w:r>
        <w:rPr>
          <w:sz w:val="24"/>
          <w:szCs w:val="24"/>
        </w:rPr>
        <w:t xml:space="preserve">Министерства науки и высшего образования Российской Федерации от 06.07.2019 № 471 Санкт-Петербургский государственный университет был включен в перечень образовательных организаций, проводящих  тестирование по русскому языку как иностранному языку, и уполномочен на выдачу сертификата государственного образца. </w:t>
      </w:r>
    </w:p>
    <w:p>
      <w:pPr>
        <w:pStyle w:val="Normal"/>
        <w:widowControl w:val="false"/>
        <w:spacing w:lineRule="auto" w:line="271"/>
        <w:jc w:val="both"/>
        <w:rPr>
          <w:sz w:val="24"/>
          <w:szCs w:val="24"/>
        </w:rPr>
      </w:pPr>
      <w:r>
        <w:rPr>
          <w:sz w:val="24"/>
          <w:szCs w:val="24"/>
        </w:rPr>
        <w:t xml:space="preserve">Выдаваемый СПбГУ сертификат является единственным официальным документом, подтверждающим уровень владения русским языком как иностранным языком в соответствии с </w:t>
      </w:r>
      <w:r>
        <w:rPr>
          <w:spacing w:val="8"/>
          <w:sz w:val="24"/>
          <w:szCs w:val="24"/>
        </w:rPr>
        <w:t>общеевропейскими языковыми</w:t>
      </w:r>
      <w:r>
        <w:rPr>
          <w:sz w:val="24"/>
          <w:szCs w:val="24"/>
        </w:rPr>
        <w:t xml:space="preserve"> компетенциями (</w:t>
      </w:r>
      <w:r>
        <w:rPr>
          <w:sz w:val="24"/>
          <w:szCs w:val="24"/>
          <w:lang w:val="en-US"/>
        </w:rPr>
        <w:t>CEFR</w:t>
      </w:r>
      <w:r>
        <w:rPr>
          <w:sz w:val="24"/>
          <w:szCs w:val="24"/>
        </w:rPr>
        <w:t>), как в России, так и за её пределами.</w:t>
      </w:r>
    </w:p>
    <w:p>
      <w:pPr>
        <w:pStyle w:val="Normal"/>
        <w:widowControl w:val="false"/>
        <w:spacing w:lineRule="auto" w:line="271"/>
        <w:jc w:val="center"/>
        <w:rPr>
          <w:b/>
          <w:b/>
          <w:bCs/>
          <w:sz w:val="24"/>
          <w:szCs w:val="24"/>
        </w:rPr>
      </w:pPr>
      <w:r>
        <w:rPr>
          <w:b/>
          <w:bCs/>
          <w:sz w:val="24"/>
          <w:szCs w:val="24"/>
        </w:rPr>
        <w:t>Что такое ТРКИ?</w:t>
      </w:r>
    </w:p>
    <w:p>
      <w:pPr>
        <w:pStyle w:val="Normal"/>
        <w:widowControl w:val="false"/>
        <w:spacing w:lineRule="auto" w:line="271"/>
        <w:rPr>
          <w:sz w:val="24"/>
          <w:szCs w:val="24"/>
        </w:rPr>
      </w:pPr>
      <w:r>
        <w:rPr>
          <w:sz w:val="24"/>
          <w:szCs w:val="24"/>
        </w:rPr>
        <w:t>- Это современный тест по русскому языку для иностранных граждан, отвечающий лучшим мировым стандартам качества. ТРКИ - это 6 различных уровней, от элементарного (А1) до четвертого сертификационного (С2).</w:t>
      </w:r>
    </w:p>
    <w:p>
      <w:pPr>
        <w:pStyle w:val="Normal"/>
        <w:widowControl w:val="false"/>
        <w:spacing w:lineRule="auto" w:line="271"/>
        <w:jc w:val="both"/>
        <w:rPr>
          <w:sz w:val="24"/>
          <w:szCs w:val="24"/>
        </w:rPr>
      </w:pPr>
      <w:r>
        <w:rPr>
          <w:sz w:val="24"/>
          <w:szCs w:val="24"/>
        </w:rPr>
        <w:t xml:space="preserve">- Это 5 субтестов, проверяющих языковые компетенции в различных сферах применения языка: «Письмо», «Лексика. Грамматика», «Чтение», «Аудирование» и «Говорение». </w:t>
      </w:r>
    </w:p>
    <w:p>
      <w:pPr>
        <w:pStyle w:val="Normal"/>
        <w:ind w:firstLine="708"/>
        <w:jc w:val="both"/>
        <w:rPr>
          <w:sz w:val="24"/>
          <w:szCs w:val="24"/>
        </w:rPr>
      </w:pPr>
      <w:r>
        <w:rPr>
          <w:b/>
          <w:sz w:val="24"/>
          <w:szCs w:val="24"/>
        </w:rPr>
        <w:t>Элементарный уровень (ТЭУ)/A1.</w:t>
      </w:r>
      <w:r>
        <w:rPr>
          <w:sz w:val="24"/>
          <w:szCs w:val="24"/>
        </w:rPr>
        <w:t xml:space="preserve"> Успешное прохождение тестирования означает, что кандидат владеет минимальным уровнем знаний русского языка, достаточным для ограниченного числа ситуаций в повседневном общении. Также сертификат элементарного уровня означает, что кандидат имеет достаточные и необходимые знания для дальнейшего изучения языка и достижения следующего (базового) уровня общего владения русским языком.</w:t>
      </w:r>
    </w:p>
    <w:p>
      <w:pPr>
        <w:pStyle w:val="Normal"/>
        <w:ind w:firstLine="708"/>
        <w:jc w:val="both"/>
        <w:rPr>
          <w:sz w:val="24"/>
          <w:szCs w:val="24"/>
        </w:rPr>
      </w:pPr>
      <w:r>
        <w:rPr>
          <w:b/>
          <w:sz w:val="24"/>
          <w:szCs w:val="24"/>
        </w:rPr>
        <w:t>Базовый уровень (ТБУ)/A2.</w:t>
      </w:r>
      <w:r>
        <w:rPr>
          <w:sz w:val="24"/>
          <w:szCs w:val="24"/>
        </w:rPr>
        <w:t xml:space="preserve"> Успешное прохождение тестирования означает, что кандидат владеет начальным уровнем знаний русского языка, достаточным для основных коммуникативных потребностей в ограниченном числе ситуаций бытовой и культурной сфер общения. Базовый уровень является минимальной базой для занятий какой-либо профессиональной деятельностью в ограниченном объеме. ТБУ является минимальным уровнем знания русского языка необходимым для вступления в гражданство РФ.</w:t>
      </w:r>
    </w:p>
    <w:p>
      <w:pPr>
        <w:pStyle w:val="Normal"/>
        <w:ind w:firstLine="708"/>
        <w:jc w:val="both"/>
        <w:rPr>
          <w:sz w:val="24"/>
          <w:szCs w:val="24"/>
        </w:rPr>
      </w:pPr>
      <w:r>
        <w:rPr>
          <w:b/>
          <w:sz w:val="24"/>
          <w:szCs w:val="24"/>
        </w:rPr>
        <w:t>Первый уровень (ТРКИ-I)/B1.</w:t>
      </w:r>
      <w:r>
        <w:rPr>
          <w:sz w:val="24"/>
          <w:szCs w:val="24"/>
        </w:rPr>
        <w:t xml:space="preserve"> Успешное прохождение тестирования означает, что кандидат имеет средний уровень владения русским языком, который позволяет кандидату удовлетворить основные коммуникативные потребности в бытовой, учебной и профессиональной сферах общения в соответствии с государственным стандартом русского языка как иностранного языка. Сертификат данного уровня необходим для поступления в российское высшее учебное заведение. Сертификат указанного уровня дает дополнительные баллы при поступлении в СПбГУ на программы бакалавриата.</w:t>
      </w:r>
    </w:p>
    <w:p>
      <w:pPr>
        <w:pStyle w:val="Normal"/>
        <w:ind w:firstLine="708"/>
        <w:jc w:val="both"/>
        <w:rPr>
          <w:sz w:val="24"/>
          <w:szCs w:val="24"/>
        </w:rPr>
      </w:pPr>
      <w:r>
        <w:rPr>
          <w:b/>
          <w:sz w:val="24"/>
          <w:szCs w:val="24"/>
        </w:rPr>
        <w:t>Второй уровень (ТРКИ-II)/B2.</w:t>
      </w:r>
      <w:r>
        <w:rPr>
          <w:sz w:val="24"/>
          <w:szCs w:val="24"/>
        </w:rPr>
        <w:t xml:space="preserve"> Успешное прохождение тестирования означает, что кандидат имеет достаточно высокий уровень владения русским языком, который позволяет кандидату удовлетворить коммуникативные потребности во всех сферах общения. Владение языком на данному уровне, позволяет человеку вести профессиональную деятельность на русском языке как специалиста в инженерно-технической, гуманитарной и естественнонаучной областях. Наличие данного сертификата необходимо для получения диплома бакалавра или магистра. Сертификат указанного уровня дает дополнительные баллы при поступлении в СПбГУ на магистерские программы.</w:t>
      </w:r>
    </w:p>
    <w:p>
      <w:pPr>
        <w:pStyle w:val="Normal"/>
        <w:ind w:firstLine="708"/>
        <w:jc w:val="both"/>
        <w:rPr>
          <w:sz w:val="24"/>
          <w:szCs w:val="24"/>
        </w:rPr>
      </w:pPr>
      <w:r>
        <w:rPr>
          <w:b/>
          <w:sz w:val="24"/>
          <w:szCs w:val="24"/>
        </w:rPr>
        <w:t>Третий уровень (ТРКИ-III)/C1.</w:t>
      </w:r>
      <w:r>
        <w:rPr>
          <w:sz w:val="24"/>
          <w:szCs w:val="24"/>
        </w:rPr>
        <w:t xml:space="preserve"> Успешное прохождение тестирования означает, что кандидат может вести профессиональную деятельность на русском языке в качестве филолога, переводчика, редактора, журналиста, дипломата, менеджера, работающего в русскоязычном коллективе.</w:t>
      </w:r>
    </w:p>
    <w:p>
      <w:pPr>
        <w:pStyle w:val="Normal"/>
        <w:ind w:firstLine="708"/>
        <w:jc w:val="both"/>
        <w:rPr>
          <w:sz w:val="24"/>
          <w:szCs w:val="24"/>
        </w:rPr>
      </w:pPr>
      <w:r>
        <w:rPr>
          <w:b/>
          <w:sz w:val="24"/>
          <w:szCs w:val="24"/>
        </w:rPr>
        <w:t>Четвертый уровень (TРКИ-IV)/C2.</w:t>
      </w:r>
      <w:r>
        <w:rPr>
          <w:sz w:val="24"/>
          <w:szCs w:val="24"/>
        </w:rPr>
        <w:t xml:space="preserve"> Успешное прохождение тестирования означает, что кандидат владеет русским языком на высоком уровне, сравнимым с уровнем носителя языка. Наличие данного сертификата является необходимым для получения диплома магистра-филолога, который дает право на все виды преподавательской и научно-исследовательской деятельности в области русского языка.</w:t>
      </w:r>
    </w:p>
    <w:p>
      <w:pPr>
        <w:pStyle w:val="Normal"/>
        <w:ind w:firstLine="708"/>
        <w:jc w:val="both"/>
        <w:rPr>
          <w:sz w:val="24"/>
          <w:szCs w:val="24"/>
        </w:rPr>
      </w:pPr>
      <w:r>
        <w:rPr>
          <w:sz w:val="24"/>
          <w:szCs w:val="24"/>
        </w:rPr>
        <w:t>Тест каждого уровня включает в себя 5 субтестов: «Грамматика. Лексика», «Чтение», «Письмо», «Аудирование», «Говорение».</w:t>
      </w:r>
    </w:p>
    <w:p>
      <w:pPr>
        <w:pStyle w:val="Normal"/>
        <w:ind w:firstLine="708"/>
        <w:jc w:val="both"/>
        <w:rPr>
          <w:sz w:val="24"/>
          <w:szCs w:val="24"/>
        </w:rPr>
      </w:pPr>
      <w:r>
        <w:rPr>
          <w:sz w:val="24"/>
          <w:szCs w:val="24"/>
        </w:rPr>
        <w:t xml:space="preserve">Самым распространённым является тестирование на первый уровень (ТРКИ-I)/B1, поэтому коротко охарактеризую каждый субтест на примере уровня ТРКИ-I/В1. </w:t>
      </w:r>
    </w:p>
    <w:p>
      <w:pPr>
        <w:pStyle w:val="Normal"/>
        <w:ind w:firstLine="708"/>
        <w:jc w:val="both"/>
        <w:rPr>
          <w:sz w:val="24"/>
          <w:szCs w:val="24"/>
        </w:rPr>
      </w:pPr>
      <w:r>
        <w:rPr>
          <w:sz w:val="24"/>
          <w:szCs w:val="24"/>
        </w:rPr>
        <w:t>Субтест «Лексика. Грамматика» направлен на проверку лексического минимума. Основной состав активного словаря данного уровня обслуживает бытовую и социально-культурную сферы общения.</w:t>
      </w:r>
    </w:p>
    <w:p>
      <w:pPr>
        <w:pStyle w:val="Normal"/>
        <w:ind w:firstLine="708"/>
        <w:jc w:val="both"/>
        <w:rPr>
          <w:sz w:val="24"/>
          <w:szCs w:val="24"/>
        </w:rPr>
      </w:pPr>
      <w:r>
        <w:rPr>
          <w:sz w:val="24"/>
          <w:szCs w:val="24"/>
        </w:rPr>
        <w:t>Субтест «Чтение» направлен на проверку навыков понимания текста со сложными грамматическими конструкциями, различными выразительными средствами языка, а также умение работать с текстом.</w:t>
      </w:r>
    </w:p>
    <w:p>
      <w:pPr>
        <w:pStyle w:val="Normal"/>
        <w:jc w:val="both"/>
        <w:rPr>
          <w:sz w:val="24"/>
          <w:szCs w:val="24"/>
        </w:rPr>
      </w:pPr>
      <w:r>
        <w:rPr>
          <w:sz w:val="24"/>
          <w:szCs w:val="24"/>
        </w:rPr>
        <w:t>Субтест «Письмо» направлен на проверку навыков и умений в выражении своих коммуникативных целей в письменном виде с использованием различных коммуникативных форм и средств.</w:t>
      </w:r>
    </w:p>
    <w:p>
      <w:pPr>
        <w:pStyle w:val="Normal"/>
        <w:jc w:val="both"/>
        <w:rPr>
          <w:sz w:val="24"/>
          <w:szCs w:val="24"/>
        </w:rPr>
      </w:pPr>
      <w:r>
        <w:rPr>
          <w:sz w:val="24"/>
          <w:szCs w:val="24"/>
        </w:rPr>
        <w:t>Субтест «Аудирование» направлен на проверку умения понять на слух информацию, содержащуюся в высказывании и диалоге: тему, основную идею, главную и дополнительную информацию каждой смысловой части сообщения с достаточной полнотой, глубиной и точностью.</w:t>
      </w:r>
    </w:p>
    <w:p>
      <w:pPr>
        <w:pStyle w:val="Normal"/>
        <w:jc w:val="both"/>
        <w:rPr>
          <w:sz w:val="24"/>
          <w:szCs w:val="24"/>
        </w:rPr>
      </w:pPr>
      <w:r>
        <w:rPr>
          <w:sz w:val="24"/>
          <w:szCs w:val="24"/>
        </w:rPr>
        <w:t>Субтест «Говорение» направлен на проверку навыков и умений самостоятельно продуцировать связные, высказывания соответствующие предложенной теме; строить высказывания на основе прочитанного или прослушанного текста различной смысловой структуры и направленности; передавать содержание, основную идею прочитанного или прослушанного текста.</w:t>
      </w:r>
    </w:p>
    <w:p>
      <w:pPr>
        <w:pStyle w:val="Normal"/>
        <w:jc w:val="center"/>
        <w:rPr>
          <w:b/>
          <w:b/>
          <w:sz w:val="24"/>
          <w:szCs w:val="24"/>
        </w:rPr>
      </w:pPr>
      <w:r>
        <w:rPr>
          <w:b/>
          <w:sz w:val="24"/>
          <w:szCs w:val="24"/>
        </w:rPr>
        <w:t>Центры тестирования СПбГУ за рубежом</w:t>
      </w:r>
    </w:p>
    <w:p>
      <w:pPr>
        <w:pStyle w:val="Normal"/>
        <w:jc w:val="both"/>
        <w:rPr>
          <w:sz w:val="24"/>
          <w:szCs w:val="24"/>
        </w:rPr>
      </w:pPr>
      <w:r>
        <w:rPr>
          <w:sz w:val="24"/>
          <w:szCs w:val="24"/>
        </w:rPr>
        <w:t>Экзамен проводится в 100 центрах более чем в 40 странах от Аргентины до Японии.</w:t>
      </w:r>
    </w:p>
    <w:p>
      <w:pPr>
        <w:pStyle w:val="Normal"/>
        <w:widowControl w:val="false"/>
        <w:spacing w:lineRule="auto" w:line="271"/>
        <w:jc w:val="both"/>
        <w:rPr>
          <w:sz w:val="24"/>
          <w:szCs w:val="24"/>
        </w:rPr>
      </w:pPr>
      <w:r>
        <w:rPr>
          <w:sz w:val="24"/>
          <w:szCs w:val="24"/>
        </w:rPr>
        <w:t>Теперь Вы можете проверить свои силы, пройдя  государственное тестирования по русскому зыку как иностранному (ТРКИ) в Санкт-Петербургском университете, даже не выходя из дома!</w:t>
      </w:r>
    </w:p>
    <w:p>
      <w:pPr>
        <w:pStyle w:val="Normal"/>
        <w:widowControl w:val="false"/>
        <w:spacing w:lineRule="auto" w:line="271"/>
        <w:jc w:val="center"/>
        <w:rPr>
          <w:b/>
          <w:b/>
          <w:sz w:val="24"/>
          <w:szCs w:val="24"/>
        </w:rPr>
      </w:pPr>
      <w:r>
        <w:rPr>
          <w:b/>
          <w:sz w:val="24"/>
          <w:szCs w:val="24"/>
        </w:rPr>
        <w:t xml:space="preserve">Индекс влияния </w:t>
      </w:r>
    </w:p>
    <w:p>
      <w:pPr>
        <w:pStyle w:val="Normal"/>
        <w:widowControl w:val="false"/>
        <w:spacing w:lineRule="auto" w:line="271"/>
        <w:jc w:val="both"/>
        <w:rPr>
          <w:sz w:val="24"/>
          <w:szCs w:val="24"/>
        </w:rPr>
      </w:pPr>
      <w:r>
        <w:rPr>
          <w:sz w:val="24"/>
          <w:szCs w:val="24"/>
        </w:rPr>
        <w:t>Сертификат признается более в 1000 организациях (в том числе ООН) в Великобритании, Греции, Германии, Испании, Италии, Китае, Корее, Польше, Турции, Швейцарии и в других странах.</w:t>
      </w:r>
    </w:p>
    <w:p>
      <w:pPr>
        <w:pStyle w:val="Normal"/>
        <w:widowControl w:val="false"/>
        <w:spacing w:lineRule="auto" w:line="271"/>
        <w:jc w:val="both"/>
        <w:rPr>
          <w:b/>
          <w:b/>
          <w:sz w:val="24"/>
          <w:szCs w:val="24"/>
        </w:rPr>
      </w:pPr>
      <w:r>
        <w:rPr>
          <w:b/>
          <w:sz w:val="24"/>
          <w:szCs w:val="24"/>
        </w:rPr>
        <w:t xml:space="preserve">СПбГУ является аффилированным членом </w:t>
      </w:r>
      <w:r>
        <w:rPr>
          <w:b/>
          <w:sz w:val="24"/>
          <w:szCs w:val="24"/>
          <w:lang w:val="en-US"/>
        </w:rPr>
        <w:t>ALTE</w:t>
      </w:r>
      <w:r>
        <w:rPr>
          <w:b/>
          <w:sz w:val="24"/>
          <w:szCs w:val="24"/>
        </w:rPr>
        <w:t>.</w:t>
      </w:r>
    </w:p>
    <w:p>
      <w:pPr>
        <w:pStyle w:val="Normal"/>
        <w:widowControl w:val="false"/>
        <w:spacing w:lineRule="auto" w:line="271"/>
        <w:jc w:val="center"/>
        <w:rPr>
          <w:b/>
          <w:b/>
          <w:bCs/>
          <w:sz w:val="24"/>
          <w:szCs w:val="24"/>
        </w:rPr>
      </w:pPr>
      <w:r>
        <w:rPr>
          <w:b/>
          <w:bCs/>
          <w:sz w:val="24"/>
          <w:szCs w:val="24"/>
        </w:rPr>
        <w:t> </w:t>
      </w:r>
      <w:r>
        <w:rPr>
          <w:b/>
          <w:bCs/>
          <w:sz w:val="24"/>
          <w:szCs w:val="24"/>
        </w:rPr>
        <w:t>Стоимость Тестирования</w:t>
      </w:r>
    </w:p>
    <w:tbl>
      <w:tblPr>
        <w:tblW w:w="5000" w:type="pct"/>
        <w:jc w:val="center"/>
        <w:tblInd w:w="0" w:type="dxa"/>
        <w:tblCellMar>
          <w:top w:w="15" w:type="dxa"/>
          <w:left w:w="22" w:type="dxa"/>
          <w:bottom w:w="15" w:type="dxa"/>
          <w:right w:w="22" w:type="dxa"/>
        </w:tblCellMar>
        <w:tblLook w:val="04a0" w:noHBand="0" w:noVBand="1" w:firstColumn="1" w:lastRow="0" w:lastColumn="0" w:firstRow="1"/>
      </w:tblPr>
      <w:tblGrid>
        <w:gridCol w:w="5805"/>
        <w:gridCol w:w="3833"/>
      </w:tblGrid>
      <w:tr>
        <w:trPr/>
        <w:tc>
          <w:tcPr>
            <w:tcW w:w="5805" w:type="dxa"/>
            <w:tcBorders>
              <w:top w:val="outset" w:sz="6" w:space="0" w:color="000000"/>
              <w:left w:val="outset" w:sz="6" w:space="0" w:color="000000"/>
              <w:bottom w:val="outset" w:sz="6" w:space="0" w:color="000000"/>
              <w:right w:val="outset" w:sz="6" w:space="0" w:color="000000"/>
            </w:tcBorders>
            <w:shd w:color="auto" w:fill="999999" w:val="clear"/>
            <w:vAlign w:val="center"/>
          </w:tcPr>
          <w:p>
            <w:pPr>
              <w:pStyle w:val="Normal"/>
              <w:numPr>
                <w:ilvl w:val="0"/>
                <w:numId w:val="0"/>
              </w:numPr>
              <w:spacing w:lineRule="auto" w:line="240" w:beforeAutospacing="1" w:after="0"/>
              <w:jc w:val="center"/>
              <w:outlineLvl w:val="2"/>
              <w:rPr>
                <w:rFonts w:eastAsia="Times New Roman"/>
                <w:b/>
                <w:b/>
                <w:bCs/>
                <w:sz w:val="24"/>
                <w:szCs w:val="24"/>
                <w:lang w:eastAsia="ru-RU"/>
              </w:rPr>
            </w:pPr>
            <w:r>
              <w:rPr>
                <w:rFonts w:eastAsia="Times New Roman"/>
                <w:b/>
                <w:bCs/>
                <w:sz w:val="24"/>
                <w:szCs w:val="24"/>
                <w:lang w:eastAsia="ru-RU"/>
              </w:rPr>
              <w:t>Уровень</w:t>
            </w:r>
          </w:p>
        </w:tc>
        <w:tc>
          <w:tcPr>
            <w:tcW w:w="3833" w:type="dxa"/>
            <w:tcBorders>
              <w:top w:val="outset" w:sz="6" w:space="0" w:color="000000"/>
              <w:left w:val="outset" w:sz="6" w:space="0" w:color="000000"/>
              <w:bottom w:val="outset" w:sz="6" w:space="0" w:color="000000"/>
              <w:right w:val="outset" w:sz="6" w:space="0" w:color="000000"/>
            </w:tcBorders>
            <w:shd w:color="auto" w:fill="999999" w:val="clear"/>
            <w:vAlign w:val="center"/>
          </w:tcPr>
          <w:p>
            <w:pPr>
              <w:pStyle w:val="Normal"/>
              <w:numPr>
                <w:ilvl w:val="0"/>
                <w:numId w:val="0"/>
              </w:numPr>
              <w:spacing w:lineRule="auto" w:line="240" w:beforeAutospacing="1" w:after="0"/>
              <w:jc w:val="center"/>
              <w:outlineLvl w:val="2"/>
              <w:rPr>
                <w:rFonts w:eastAsia="Times New Roman"/>
                <w:b/>
                <w:b/>
                <w:bCs/>
                <w:sz w:val="24"/>
                <w:szCs w:val="24"/>
                <w:lang w:eastAsia="ru-RU"/>
              </w:rPr>
            </w:pPr>
            <w:r>
              <w:rPr>
                <w:rFonts w:eastAsia="Times New Roman"/>
                <w:b/>
                <w:bCs/>
                <w:sz w:val="24"/>
                <w:szCs w:val="24"/>
                <w:lang w:eastAsia="ru-RU"/>
              </w:rPr>
              <w:t>Стоимость тестирования, валюта</w:t>
            </w:r>
          </w:p>
        </w:tc>
      </w:tr>
      <w:tr>
        <w:trPr/>
        <w:tc>
          <w:tcPr>
            <w:tcW w:w="5805" w:type="dxa"/>
            <w:tcBorders>
              <w:top w:val="outset" w:sz="6" w:space="0" w:color="000000"/>
              <w:left w:val="outset" w:sz="6" w:space="0" w:color="000000"/>
              <w:bottom w:val="outset" w:sz="6" w:space="0" w:color="000000"/>
              <w:right w:val="outset" w:sz="6" w:space="0" w:color="000000"/>
            </w:tcBorders>
          </w:tcPr>
          <w:p>
            <w:pPr>
              <w:pStyle w:val="Normal"/>
              <w:spacing w:before="0" w:after="200"/>
              <w:contextualSpacing/>
              <w:jc w:val="both"/>
              <w:rPr>
                <w:rFonts w:eastAsia="Times New Roman"/>
                <w:sz w:val="24"/>
                <w:szCs w:val="24"/>
                <w:lang w:eastAsia="ru-RU"/>
              </w:rPr>
            </w:pPr>
            <w:r>
              <w:rPr>
                <w:rFonts w:eastAsia="Times New Roman"/>
                <w:sz w:val="24"/>
                <w:szCs w:val="24"/>
                <w:lang w:eastAsia="ru-RU"/>
              </w:rPr>
              <w:t>Элементарный уровень (ТЭУ/А1)</w:t>
            </w:r>
          </w:p>
        </w:tc>
        <w:tc>
          <w:tcPr>
            <w:tcW w:w="3833" w:type="dxa"/>
            <w:vMerge w:val="restart"/>
            <w:tcBorders/>
            <w:vAlign w:val="center"/>
          </w:tcPr>
          <w:p>
            <w:pPr>
              <w:pStyle w:val="Normal"/>
              <w:spacing w:lineRule="auto" w:line="240" w:before="0" w:after="0"/>
              <w:jc w:val="center"/>
              <w:rPr>
                <w:rFonts w:eastAsia="Times New Roman"/>
                <w:sz w:val="24"/>
                <w:szCs w:val="24"/>
                <w:lang w:eastAsia="ru-RU"/>
              </w:rPr>
            </w:pPr>
            <w:r>
              <w:rPr>
                <w:rFonts w:eastAsia="Times New Roman"/>
                <w:sz w:val="24"/>
                <w:szCs w:val="24"/>
                <w:lang w:eastAsia="ru-RU"/>
              </w:rPr>
              <w:t>Согласно стоимости, установленной в организации</w:t>
            </w:r>
          </w:p>
        </w:tc>
      </w:tr>
      <w:tr>
        <w:trPr/>
        <w:tc>
          <w:tcPr>
            <w:tcW w:w="5805" w:type="dxa"/>
            <w:tcBorders>
              <w:top w:val="outset" w:sz="6" w:space="0" w:color="000000"/>
              <w:left w:val="outset" w:sz="6" w:space="0" w:color="000000"/>
              <w:bottom w:val="outset" w:sz="6" w:space="0" w:color="000000"/>
              <w:right w:val="outset" w:sz="6" w:space="0" w:color="000000"/>
            </w:tcBorders>
          </w:tcPr>
          <w:p>
            <w:pPr>
              <w:pStyle w:val="Normal"/>
              <w:spacing w:before="0" w:after="200"/>
              <w:contextualSpacing/>
              <w:jc w:val="both"/>
              <w:rPr>
                <w:rFonts w:eastAsia="Times New Roman"/>
                <w:sz w:val="24"/>
                <w:szCs w:val="24"/>
                <w:lang w:eastAsia="ru-RU"/>
              </w:rPr>
            </w:pPr>
            <w:r>
              <w:rPr>
                <w:rFonts w:eastAsia="Times New Roman"/>
                <w:sz w:val="24"/>
                <w:szCs w:val="24"/>
                <w:lang w:eastAsia="ru-RU"/>
              </w:rPr>
              <w:t>Базовый уровень (ТБУ/А2)</w:t>
            </w:r>
          </w:p>
        </w:tc>
        <w:tc>
          <w:tcPr>
            <w:tcW w:w="3833" w:type="dxa"/>
            <w:vMerge w:val="continue"/>
            <w:tcBorders/>
            <w:vAlign w:val="center"/>
          </w:tcPr>
          <w:p>
            <w:pPr>
              <w:pStyle w:val="Normal"/>
              <w:spacing w:lineRule="auto" w:line="240" w:before="0" w:after="0"/>
              <w:jc w:val="center"/>
              <w:rPr>
                <w:rFonts w:eastAsia="Times New Roman"/>
                <w:sz w:val="24"/>
                <w:szCs w:val="24"/>
                <w:lang w:eastAsia="ru-RU"/>
              </w:rPr>
            </w:pPr>
            <w:r>
              <w:rPr>
                <w:rFonts w:eastAsia="Times New Roman"/>
                <w:sz w:val="24"/>
                <w:szCs w:val="24"/>
                <w:lang w:eastAsia="ru-RU"/>
              </w:rPr>
            </w:r>
          </w:p>
        </w:tc>
      </w:tr>
      <w:tr>
        <w:trPr/>
        <w:tc>
          <w:tcPr>
            <w:tcW w:w="5805" w:type="dxa"/>
            <w:tcBorders>
              <w:top w:val="outset" w:sz="6" w:space="0" w:color="000000"/>
              <w:left w:val="outset" w:sz="6" w:space="0" w:color="000000"/>
              <w:bottom w:val="outset" w:sz="6" w:space="0" w:color="000000"/>
              <w:right w:val="outset" w:sz="6" w:space="0" w:color="000000"/>
            </w:tcBorders>
          </w:tcPr>
          <w:p>
            <w:pPr>
              <w:pStyle w:val="Normal"/>
              <w:spacing w:before="0" w:after="200"/>
              <w:contextualSpacing/>
              <w:jc w:val="both"/>
              <w:rPr>
                <w:rFonts w:eastAsia="Times New Roman"/>
                <w:sz w:val="24"/>
                <w:szCs w:val="24"/>
                <w:lang w:eastAsia="ru-RU"/>
              </w:rPr>
            </w:pPr>
            <w:r>
              <w:rPr>
                <w:rFonts w:eastAsia="Times New Roman"/>
                <w:sz w:val="24"/>
                <w:szCs w:val="24"/>
                <w:lang w:eastAsia="ru-RU"/>
              </w:rPr>
              <w:t>Первый сертификационный уровень  (ТРКИ-I/В1)</w:t>
            </w:r>
          </w:p>
        </w:tc>
        <w:tc>
          <w:tcPr>
            <w:tcW w:w="3833" w:type="dxa"/>
            <w:vMerge w:val="continue"/>
            <w:tcBorders/>
            <w:vAlign w:val="center"/>
          </w:tcPr>
          <w:p>
            <w:pPr>
              <w:pStyle w:val="Normal"/>
              <w:spacing w:lineRule="auto" w:line="240" w:before="0" w:after="0"/>
              <w:jc w:val="center"/>
              <w:rPr>
                <w:rFonts w:eastAsia="Times New Roman"/>
                <w:sz w:val="24"/>
                <w:szCs w:val="24"/>
                <w:lang w:eastAsia="ru-RU"/>
              </w:rPr>
            </w:pPr>
            <w:r>
              <w:rPr>
                <w:rFonts w:eastAsia="Times New Roman"/>
                <w:sz w:val="24"/>
                <w:szCs w:val="24"/>
                <w:lang w:eastAsia="ru-RU"/>
              </w:rPr>
            </w:r>
          </w:p>
        </w:tc>
      </w:tr>
      <w:tr>
        <w:trPr/>
        <w:tc>
          <w:tcPr>
            <w:tcW w:w="5805" w:type="dxa"/>
            <w:tcBorders>
              <w:top w:val="outset" w:sz="6" w:space="0" w:color="000000"/>
              <w:left w:val="outset" w:sz="6" w:space="0" w:color="000000"/>
              <w:bottom w:val="outset" w:sz="6" w:space="0" w:color="000000"/>
              <w:right w:val="outset" w:sz="6" w:space="0" w:color="000000"/>
            </w:tcBorders>
          </w:tcPr>
          <w:p>
            <w:pPr>
              <w:pStyle w:val="Normal"/>
              <w:spacing w:before="0" w:after="200"/>
              <w:contextualSpacing/>
              <w:jc w:val="both"/>
              <w:rPr>
                <w:rFonts w:eastAsia="Times New Roman"/>
                <w:sz w:val="24"/>
                <w:szCs w:val="24"/>
                <w:lang w:eastAsia="ru-RU"/>
              </w:rPr>
            </w:pPr>
            <w:r>
              <w:rPr>
                <w:rFonts w:eastAsia="Times New Roman"/>
                <w:sz w:val="24"/>
                <w:szCs w:val="24"/>
                <w:lang w:eastAsia="ru-RU"/>
              </w:rPr>
              <w:t>Второй сертификационный уровень (ТРКИ-II/В2)</w:t>
            </w:r>
          </w:p>
        </w:tc>
        <w:tc>
          <w:tcPr>
            <w:tcW w:w="3833" w:type="dxa"/>
            <w:vMerge w:val="continue"/>
            <w:tcBorders/>
            <w:vAlign w:val="center"/>
          </w:tcPr>
          <w:p>
            <w:pPr>
              <w:pStyle w:val="Normal"/>
              <w:spacing w:lineRule="auto" w:line="240" w:before="0" w:after="0"/>
              <w:rPr>
                <w:rFonts w:eastAsia="Times New Roman"/>
                <w:sz w:val="24"/>
                <w:szCs w:val="24"/>
                <w:lang w:eastAsia="ru-RU"/>
              </w:rPr>
            </w:pPr>
            <w:r>
              <w:rPr>
                <w:rFonts w:eastAsia="Times New Roman"/>
                <w:sz w:val="24"/>
                <w:szCs w:val="24"/>
                <w:lang w:eastAsia="ru-RU"/>
              </w:rPr>
            </w:r>
          </w:p>
        </w:tc>
      </w:tr>
      <w:tr>
        <w:trPr/>
        <w:tc>
          <w:tcPr>
            <w:tcW w:w="5805" w:type="dxa"/>
            <w:tcBorders>
              <w:top w:val="outset" w:sz="6" w:space="0" w:color="000000"/>
              <w:left w:val="outset" w:sz="6" w:space="0" w:color="000000"/>
              <w:bottom w:val="outset" w:sz="6" w:space="0" w:color="000000"/>
              <w:right w:val="outset" w:sz="6" w:space="0" w:color="000000"/>
            </w:tcBorders>
          </w:tcPr>
          <w:p>
            <w:pPr>
              <w:pStyle w:val="Normal"/>
              <w:spacing w:before="0" w:after="200"/>
              <w:contextualSpacing/>
              <w:jc w:val="both"/>
              <w:rPr>
                <w:rFonts w:eastAsia="Times New Roman"/>
                <w:sz w:val="24"/>
                <w:szCs w:val="24"/>
                <w:lang w:eastAsia="ru-RU"/>
              </w:rPr>
            </w:pPr>
            <w:r>
              <w:rPr>
                <w:rFonts w:eastAsia="Times New Roman"/>
                <w:sz w:val="24"/>
                <w:szCs w:val="24"/>
                <w:lang w:eastAsia="ru-RU"/>
              </w:rPr>
              <w:t>Третий сертификационный уровень (ТРКИ-III/C1)</w:t>
            </w:r>
          </w:p>
        </w:tc>
        <w:tc>
          <w:tcPr>
            <w:tcW w:w="3833" w:type="dxa"/>
            <w:vMerge w:val="continue"/>
            <w:tcBorders/>
            <w:vAlign w:val="center"/>
          </w:tcPr>
          <w:p>
            <w:pPr>
              <w:pStyle w:val="Normal"/>
              <w:spacing w:lineRule="auto" w:line="240" w:before="0" w:after="0"/>
              <w:jc w:val="center"/>
              <w:rPr>
                <w:rFonts w:eastAsia="Times New Roman"/>
                <w:sz w:val="24"/>
                <w:szCs w:val="24"/>
                <w:lang w:eastAsia="ru-RU"/>
              </w:rPr>
            </w:pPr>
            <w:r>
              <w:rPr>
                <w:rFonts w:eastAsia="Times New Roman"/>
                <w:sz w:val="24"/>
                <w:szCs w:val="24"/>
                <w:lang w:eastAsia="ru-RU"/>
              </w:rPr>
            </w:r>
          </w:p>
        </w:tc>
      </w:tr>
      <w:tr>
        <w:trPr/>
        <w:tc>
          <w:tcPr>
            <w:tcW w:w="5805" w:type="dxa"/>
            <w:tcBorders>
              <w:top w:val="outset" w:sz="6" w:space="0" w:color="000000"/>
              <w:left w:val="outset" w:sz="6" w:space="0" w:color="000000"/>
              <w:bottom w:val="outset" w:sz="6" w:space="0" w:color="000000"/>
              <w:right w:val="outset" w:sz="6" w:space="0" w:color="000000"/>
            </w:tcBorders>
          </w:tcPr>
          <w:p>
            <w:pPr>
              <w:pStyle w:val="Normal"/>
              <w:spacing w:before="0" w:after="200"/>
              <w:contextualSpacing/>
              <w:jc w:val="both"/>
              <w:rPr>
                <w:rFonts w:eastAsia="Times New Roman"/>
                <w:sz w:val="24"/>
                <w:szCs w:val="24"/>
                <w:lang w:eastAsia="ru-RU"/>
              </w:rPr>
            </w:pPr>
            <w:r>
              <w:rPr>
                <w:rFonts w:eastAsia="Times New Roman"/>
                <w:sz w:val="24"/>
                <w:szCs w:val="24"/>
                <w:lang w:eastAsia="ru-RU"/>
              </w:rPr>
              <w:t>Четвёртый сертификационный уровень (ТРКИ-</w:t>
            </w:r>
            <w:r>
              <w:rPr>
                <w:rFonts w:eastAsia="Times New Roman"/>
                <w:sz w:val="24"/>
                <w:szCs w:val="24"/>
                <w:lang w:val="en-US" w:eastAsia="ru-RU"/>
              </w:rPr>
              <w:t>IV</w:t>
            </w:r>
            <w:r>
              <w:rPr>
                <w:rFonts w:eastAsia="Times New Roman"/>
                <w:sz w:val="24"/>
                <w:szCs w:val="24"/>
                <w:lang w:eastAsia="ru-RU"/>
              </w:rPr>
              <w:t>/C2)</w:t>
            </w:r>
          </w:p>
        </w:tc>
        <w:tc>
          <w:tcPr>
            <w:tcW w:w="3833" w:type="dxa"/>
            <w:vMerge w:val="continue"/>
            <w:tcBorders/>
            <w:vAlign w:val="center"/>
          </w:tcPr>
          <w:p>
            <w:pPr>
              <w:pStyle w:val="Normal"/>
              <w:spacing w:lineRule="auto" w:line="240" w:before="0" w:after="0"/>
              <w:jc w:val="center"/>
              <w:rPr>
                <w:rFonts w:eastAsia="Times New Roman"/>
                <w:sz w:val="24"/>
                <w:szCs w:val="24"/>
                <w:lang w:eastAsia="ru-RU"/>
              </w:rPr>
            </w:pPr>
            <w:r>
              <w:rPr>
                <w:rFonts w:eastAsia="Times New Roman"/>
                <w:sz w:val="24"/>
                <w:szCs w:val="24"/>
                <w:lang w:eastAsia="ru-RU"/>
              </w:rPr>
            </w:r>
          </w:p>
        </w:tc>
      </w:tr>
    </w:tbl>
    <w:p>
      <w:pPr>
        <w:pStyle w:val="Normal"/>
        <w:widowControl w:val="false"/>
        <w:spacing w:lineRule="auto" w:line="271"/>
        <w:jc w:val="center"/>
        <w:rPr>
          <w:b/>
          <w:b/>
          <w:bCs/>
          <w:sz w:val="24"/>
          <w:szCs w:val="24"/>
        </w:rPr>
      </w:pPr>
      <w:r>
        <w:rPr>
          <w:b/>
          <w:bCs/>
          <w:sz w:val="24"/>
          <w:szCs w:val="24"/>
        </w:rPr>
      </w:r>
    </w:p>
    <w:p>
      <w:pPr>
        <w:pStyle w:val="Normal"/>
        <w:widowControl w:val="false"/>
        <w:spacing w:lineRule="auto" w:line="271"/>
        <w:jc w:val="center"/>
        <w:rPr>
          <w:b/>
          <w:b/>
          <w:bCs/>
          <w:sz w:val="24"/>
          <w:szCs w:val="24"/>
        </w:rPr>
      </w:pPr>
      <w:r>
        <w:rPr>
          <w:b/>
          <w:bCs/>
          <w:sz w:val="24"/>
          <w:szCs w:val="24"/>
        </w:rPr>
        <w:t>Ближайшие тестовые</w:t>
      </w:r>
      <w:r>
        <w:rPr>
          <w:sz w:val="24"/>
          <w:szCs w:val="24"/>
        </w:rPr>
        <w:t xml:space="preserve"> </w:t>
      </w:r>
      <w:r>
        <w:rPr>
          <w:b/>
          <w:bCs/>
          <w:sz w:val="24"/>
          <w:szCs w:val="24"/>
        </w:rPr>
        <w:t>сессии</w:t>
      </w:r>
    </w:p>
    <w:tbl>
      <w:tblPr>
        <w:tblW w:w="5000" w:type="pct"/>
        <w:jc w:val="center"/>
        <w:tblInd w:w="0" w:type="dxa"/>
        <w:tblCellMar>
          <w:top w:w="15" w:type="dxa"/>
          <w:left w:w="22" w:type="dxa"/>
          <w:bottom w:w="15" w:type="dxa"/>
          <w:right w:w="22" w:type="dxa"/>
        </w:tblCellMar>
        <w:tblLook w:val="04a0" w:noHBand="0" w:noVBand="1" w:firstColumn="1" w:lastRow="0" w:lastColumn="0" w:firstRow="1"/>
      </w:tblPr>
      <w:tblGrid>
        <w:gridCol w:w="6508"/>
        <w:gridCol w:w="3130"/>
      </w:tblGrid>
      <w:tr>
        <w:trPr/>
        <w:tc>
          <w:tcPr>
            <w:tcW w:w="6508" w:type="dxa"/>
            <w:tcBorders>
              <w:top w:val="outset" w:sz="6" w:space="0" w:color="000000"/>
              <w:left w:val="outset" w:sz="6" w:space="0" w:color="000000"/>
              <w:bottom w:val="outset" w:sz="6" w:space="0" w:color="000000"/>
              <w:right w:val="outset" w:sz="6" w:space="0" w:color="000000"/>
            </w:tcBorders>
            <w:shd w:color="auto" w:fill="999999" w:val="clear"/>
            <w:vAlign w:val="center"/>
          </w:tcPr>
          <w:p>
            <w:pPr>
              <w:pStyle w:val="Normal"/>
              <w:numPr>
                <w:ilvl w:val="0"/>
                <w:numId w:val="0"/>
              </w:numPr>
              <w:spacing w:lineRule="auto" w:line="240" w:beforeAutospacing="1" w:after="0"/>
              <w:jc w:val="center"/>
              <w:outlineLvl w:val="2"/>
              <w:rPr>
                <w:rFonts w:eastAsia="Times New Roman"/>
                <w:b/>
                <w:b/>
                <w:bCs/>
                <w:sz w:val="24"/>
                <w:szCs w:val="24"/>
                <w:lang w:eastAsia="ru-RU"/>
              </w:rPr>
            </w:pPr>
            <w:r>
              <w:rPr>
                <w:rFonts w:eastAsia="Times New Roman"/>
                <w:b/>
                <w:bCs/>
                <w:sz w:val="24"/>
                <w:szCs w:val="24"/>
                <w:lang w:eastAsia="ru-RU"/>
              </w:rPr>
              <w:t>Уровень</w:t>
            </w:r>
          </w:p>
        </w:tc>
        <w:tc>
          <w:tcPr>
            <w:tcW w:w="3130" w:type="dxa"/>
            <w:tcBorders>
              <w:top w:val="outset" w:sz="6" w:space="0" w:color="000000"/>
              <w:left w:val="outset" w:sz="6" w:space="0" w:color="000000"/>
              <w:bottom w:val="outset" w:sz="6" w:space="0" w:color="000000"/>
              <w:right w:val="outset" w:sz="6" w:space="0" w:color="000000"/>
            </w:tcBorders>
            <w:shd w:color="auto" w:fill="999999" w:val="clear"/>
            <w:vAlign w:val="center"/>
          </w:tcPr>
          <w:p>
            <w:pPr>
              <w:pStyle w:val="Normal"/>
              <w:numPr>
                <w:ilvl w:val="0"/>
                <w:numId w:val="0"/>
              </w:numPr>
              <w:spacing w:lineRule="auto" w:line="240" w:beforeAutospacing="1" w:after="0"/>
              <w:jc w:val="center"/>
              <w:outlineLvl w:val="2"/>
              <w:rPr>
                <w:rFonts w:eastAsia="Times New Roman"/>
                <w:b/>
                <w:b/>
                <w:bCs/>
                <w:sz w:val="24"/>
                <w:szCs w:val="24"/>
                <w:lang w:eastAsia="ru-RU"/>
              </w:rPr>
            </w:pPr>
            <w:r>
              <w:rPr>
                <w:rFonts w:eastAsia="Times New Roman"/>
                <w:b/>
                <w:bCs/>
                <w:sz w:val="24"/>
                <w:szCs w:val="24"/>
                <w:lang w:eastAsia="ru-RU"/>
              </w:rPr>
              <w:t>Дата</w:t>
            </w:r>
          </w:p>
        </w:tc>
      </w:tr>
      <w:tr>
        <w:trPr/>
        <w:tc>
          <w:tcPr>
            <w:tcW w:w="6508" w:type="dxa"/>
            <w:tcBorders>
              <w:top w:val="outset" w:sz="6" w:space="0" w:color="000000"/>
              <w:left w:val="outset" w:sz="6" w:space="0" w:color="000000"/>
              <w:bottom w:val="outset" w:sz="6" w:space="0" w:color="000000"/>
              <w:right w:val="outset" w:sz="6" w:space="0" w:color="000000"/>
            </w:tcBorders>
          </w:tcPr>
          <w:p>
            <w:pPr>
              <w:pStyle w:val="Normal"/>
              <w:spacing w:before="0" w:after="200"/>
              <w:contextualSpacing/>
              <w:jc w:val="both"/>
              <w:rPr>
                <w:rFonts w:eastAsia="Times New Roman"/>
                <w:sz w:val="24"/>
                <w:szCs w:val="24"/>
                <w:lang w:eastAsia="ru-RU"/>
              </w:rPr>
            </w:pPr>
            <w:r>
              <w:rPr>
                <w:rFonts w:eastAsia="Times New Roman"/>
                <w:sz w:val="24"/>
                <w:szCs w:val="24"/>
                <w:lang w:eastAsia="ru-RU"/>
              </w:rPr>
              <w:t>Элементарный уровень (ТЭУ/А1)</w:t>
            </w:r>
          </w:p>
        </w:tc>
        <w:tc>
          <w:tcPr>
            <w:tcW w:w="3130" w:type="dxa"/>
            <w:vMerge w:val="restart"/>
            <w:tcBorders>
              <w:top w:val="outset" w:sz="6" w:space="0" w:color="000000"/>
              <w:left w:val="outset" w:sz="6" w:space="0" w:color="000000"/>
              <w:right w:val="outset" w:sz="6" w:space="0" w:color="000000"/>
            </w:tcBorders>
            <w:vAlign w:val="center"/>
          </w:tcPr>
          <w:p>
            <w:pPr>
              <w:pStyle w:val="Normal"/>
              <w:spacing w:lineRule="auto" w:line="240" w:before="0" w:after="0"/>
              <w:jc w:val="center"/>
              <w:rPr>
                <w:rFonts w:eastAsia="Times New Roman"/>
                <w:sz w:val="24"/>
                <w:szCs w:val="24"/>
                <w:lang w:eastAsia="ru-RU"/>
              </w:rPr>
            </w:pPr>
            <w:r>
              <w:rPr>
                <w:rFonts w:eastAsia="Times New Roman"/>
                <w:sz w:val="24"/>
                <w:szCs w:val="24"/>
                <w:lang w:eastAsia="ru-RU"/>
              </w:rPr>
              <w:t>Согласно расписанию</w:t>
            </w:r>
          </w:p>
        </w:tc>
      </w:tr>
      <w:tr>
        <w:trPr/>
        <w:tc>
          <w:tcPr>
            <w:tcW w:w="6508" w:type="dxa"/>
            <w:tcBorders>
              <w:top w:val="outset" w:sz="6" w:space="0" w:color="000000"/>
              <w:left w:val="outset" w:sz="6" w:space="0" w:color="000000"/>
              <w:bottom w:val="outset" w:sz="6" w:space="0" w:color="000000"/>
              <w:right w:val="outset" w:sz="6" w:space="0" w:color="000000"/>
            </w:tcBorders>
          </w:tcPr>
          <w:p>
            <w:pPr>
              <w:pStyle w:val="Normal"/>
              <w:spacing w:before="0" w:after="200"/>
              <w:contextualSpacing/>
              <w:jc w:val="both"/>
              <w:rPr>
                <w:rFonts w:eastAsia="Times New Roman"/>
                <w:sz w:val="24"/>
                <w:szCs w:val="24"/>
                <w:lang w:eastAsia="ru-RU"/>
              </w:rPr>
            </w:pPr>
            <w:r>
              <w:rPr>
                <w:rFonts w:eastAsia="Times New Roman"/>
                <w:sz w:val="24"/>
                <w:szCs w:val="24"/>
                <w:lang w:eastAsia="ru-RU"/>
              </w:rPr>
              <w:t>Базовый уровень (ТБУ/А2)</w:t>
            </w:r>
          </w:p>
        </w:tc>
        <w:tc>
          <w:tcPr>
            <w:tcW w:w="3130" w:type="dxa"/>
            <w:vMerge w:val="continue"/>
            <w:tcBorders>
              <w:left w:val="outset" w:sz="6" w:space="0" w:color="000000"/>
              <w:right w:val="outset" w:sz="6" w:space="0" w:color="000000"/>
            </w:tcBorders>
            <w:vAlign w:val="center"/>
          </w:tcPr>
          <w:p>
            <w:pPr>
              <w:pStyle w:val="Normal"/>
              <w:spacing w:lineRule="auto" w:line="240" w:before="0" w:after="0"/>
              <w:jc w:val="center"/>
              <w:rPr>
                <w:rFonts w:eastAsia="Times New Roman"/>
                <w:sz w:val="24"/>
                <w:szCs w:val="24"/>
                <w:lang w:eastAsia="ru-RU"/>
              </w:rPr>
            </w:pPr>
            <w:r>
              <w:rPr>
                <w:rFonts w:eastAsia="Times New Roman"/>
                <w:sz w:val="24"/>
                <w:szCs w:val="24"/>
                <w:lang w:eastAsia="ru-RU"/>
              </w:rPr>
            </w:r>
          </w:p>
        </w:tc>
      </w:tr>
      <w:tr>
        <w:trPr/>
        <w:tc>
          <w:tcPr>
            <w:tcW w:w="6508" w:type="dxa"/>
            <w:tcBorders>
              <w:top w:val="outset" w:sz="6" w:space="0" w:color="000000"/>
              <w:left w:val="outset" w:sz="6" w:space="0" w:color="000000"/>
              <w:bottom w:val="outset" w:sz="6" w:space="0" w:color="000000"/>
              <w:right w:val="outset" w:sz="6" w:space="0" w:color="000000"/>
            </w:tcBorders>
          </w:tcPr>
          <w:p>
            <w:pPr>
              <w:pStyle w:val="Normal"/>
              <w:spacing w:before="0" w:after="200"/>
              <w:contextualSpacing/>
              <w:jc w:val="both"/>
              <w:rPr>
                <w:rFonts w:eastAsia="Times New Roman"/>
                <w:sz w:val="24"/>
                <w:szCs w:val="24"/>
                <w:lang w:eastAsia="ru-RU"/>
              </w:rPr>
            </w:pPr>
            <w:r>
              <w:rPr>
                <w:rFonts w:eastAsia="Times New Roman"/>
                <w:sz w:val="24"/>
                <w:szCs w:val="24"/>
                <w:lang w:eastAsia="ru-RU"/>
              </w:rPr>
              <w:t>Первый сертификационный уровень  (ТРКИ-I/В1)</w:t>
            </w:r>
          </w:p>
        </w:tc>
        <w:tc>
          <w:tcPr>
            <w:tcW w:w="3130" w:type="dxa"/>
            <w:vMerge w:val="continue"/>
            <w:tcBorders>
              <w:left w:val="outset" w:sz="6" w:space="0" w:color="000000"/>
              <w:right w:val="outset" w:sz="6" w:space="0" w:color="000000"/>
            </w:tcBorders>
            <w:vAlign w:val="center"/>
          </w:tcPr>
          <w:p>
            <w:pPr>
              <w:pStyle w:val="Normal"/>
              <w:spacing w:lineRule="auto" w:line="240" w:before="0" w:after="0"/>
              <w:jc w:val="center"/>
              <w:rPr>
                <w:rFonts w:eastAsia="Times New Roman"/>
                <w:sz w:val="24"/>
                <w:szCs w:val="24"/>
                <w:lang w:eastAsia="ru-RU"/>
              </w:rPr>
            </w:pPr>
            <w:r>
              <w:rPr>
                <w:rFonts w:eastAsia="Times New Roman"/>
                <w:sz w:val="24"/>
                <w:szCs w:val="24"/>
                <w:lang w:eastAsia="ru-RU"/>
              </w:rPr>
            </w:r>
          </w:p>
        </w:tc>
      </w:tr>
      <w:tr>
        <w:trPr/>
        <w:tc>
          <w:tcPr>
            <w:tcW w:w="6508" w:type="dxa"/>
            <w:tcBorders>
              <w:top w:val="outset" w:sz="6" w:space="0" w:color="000000"/>
              <w:left w:val="outset" w:sz="6" w:space="0" w:color="000000"/>
              <w:bottom w:val="outset" w:sz="6" w:space="0" w:color="000000"/>
              <w:right w:val="outset" w:sz="6" w:space="0" w:color="000000"/>
            </w:tcBorders>
          </w:tcPr>
          <w:p>
            <w:pPr>
              <w:pStyle w:val="Normal"/>
              <w:spacing w:before="0" w:after="200"/>
              <w:contextualSpacing/>
              <w:jc w:val="both"/>
              <w:rPr>
                <w:rFonts w:eastAsia="Times New Roman"/>
                <w:sz w:val="24"/>
                <w:szCs w:val="24"/>
                <w:lang w:eastAsia="ru-RU"/>
              </w:rPr>
            </w:pPr>
            <w:r>
              <w:rPr>
                <w:rFonts w:eastAsia="Times New Roman"/>
                <w:sz w:val="24"/>
                <w:szCs w:val="24"/>
                <w:lang w:eastAsia="ru-RU"/>
              </w:rPr>
              <w:t>Второй сертификационный уровень (ТРКИ-II/В2)</w:t>
            </w:r>
          </w:p>
        </w:tc>
        <w:tc>
          <w:tcPr>
            <w:tcW w:w="3130" w:type="dxa"/>
            <w:vMerge w:val="continue"/>
            <w:tcBorders>
              <w:left w:val="outset" w:sz="6" w:space="0" w:color="000000"/>
              <w:right w:val="outset" w:sz="6" w:space="0" w:color="000000"/>
            </w:tcBorders>
            <w:vAlign w:val="center"/>
          </w:tcPr>
          <w:p>
            <w:pPr>
              <w:pStyle w:val="Normal"/>
              <w:spacing w:lineRule="auto" w:line="240" w:before="0" w:after="0"/>
              <w:jc w:val="center"/>
              <w:rPr>
                <w:rFonts w:eastAsia="Times New Roman"/>
                <w:sz w:val="24"/>
                <w:szCs w:val="24"/>
                <w:lang w:eastAsia="ru-RU"/>
              </w:rPr>
            </w:pPr>
            <w:r>
              <w:rPr>
                <w:rFonts w:eastAsia="Times New Roman"/>
                <w:sz w:val="24"/>
                <w:szCs w:val="24"/>
                <w:lang w:eastAsia="ru-RU"/>
              </w:rPr>
            </w:r>
          </w:p>
        </w:tc>
      </w:tr>
      <w:tr>
        <w:trPr/>
        <w:tc>
          <w:tcPr>
            <w:tcW w:w="6508" w:type="dxa"/>
            <w:tcBorders>
              <w:top w:val="outset" w:sz="6" w:space="0" w:color="000000"/>
              <w:left w:val="outset" w:sz="6" w:space="0" w:color="000000"/>
              <w:bottom w:val="outset" w:sz="6" w:space="0" w:color="000000"/>
              <w:right w:val="outset" w:sz="6" w:space="0" w:color="000000"/>
            </w:tcBorders>
          </w:tcPr>
          <w:p>
            <w:pPr>
              <w:pStyle w:val="Normal"/>
              <w:spacing w:before="0" w:after="200"/>
              <w:contextualSpacing/>
              <w:jc w:val="both"/>
              <w:rPr>
                <w:rFonts w:eastAsia="Times New Roman"/>
                <w:sz w:val="24"/>
                <w:szCs w:val="24"/>
                <w:lang w:eastAsia="ru-RU"/>
              </w:rPr>
            </w:pPr>
            <w:r>
              <w:rPr>
                <w:rFonts w:eastAsia="Times New Roman"/>
                <w:sz w:val="24"/>
                <w:szCs w:val="24"/>
                <w:lang w:eastAsia="ru-RU"/>
              </w:rPr>
              <w:t>Третий сертификационный уровень (ТРКИ-III/C1)</w:t>
            </w:r>
          </w:p>
        </w:tc>
        <w:tc>
          <w:tcPr>
            <w:tcW w:w="3130" w:type="dxa"/>
            <w:tcBorders>
              <w:left w:val="outset" w:sz="6" w:space="0" w:color="000000"/>
              <w:right w:val="outset" w:sz="6" w:space="0" w:color="000000"/>
            </w:tcBorders>
            <w:vAlign w:val="center"/>
          </w:tcPr>
          <w:p>
            <w:pPr>
              <w:pStyle w:val="Normal"/>
              <w:spacing w:lineRule="auto" w:line="240" w:before="0" w:after="0"/>
              <w:jc w:val="center"/>
              <w:rPr>
                <w:rFonts w:eastAsia="Times New Roman"/>
                <w:sz w:val="24"/>
                <w:szCs w:val="24"/>
                <w:lang w:eastAsia="ru-RU"/>
              </w:rPr>
            </w:pPr>
            <w:r>
              <w:rPr>
                <w:rFonts w:eastAsia="Times New Roman"/>
                <w:sz w:val="24"/>
                <w:szCs w:val="24"/>
                <w:lang w:eastAsia="ru-RU"/>
              </w:rPr>
            </w:r>
          </w:p>
        </w:tc>
      </w:tr>
      <w:tr>
        <w:trPr/>
        <w:tc>
          <w:tcPr>
            <w:tcW w:w="6508" w:type="dxa"/>
            <w:tcBorders>
              <w:top w:val="outset" w:sz="6" w:space="0" w:color="000000"/>
              <w:left w:val="outset" w:sz="6" w:space="0" w:color="000000"/>
              <w:bottom w:val="outset" w:sz="6" w:space="0" w:color="000000"/>
              <w:right w:val="outset" w:sz="6" w:space="0" w:color="000000"/>
            </w:tcBorders>
          </w:tcPr>
          <w:p>
            <w:pPr>
              <w:pStyle w:val="Normal"/>
              <w:spacing w:before="0" w:after="200"/>
              <w:contextualSpacing/>
              <w:jc w:val="both"/>
              <w:rPr>
                <w:rFonts w:eastAsia="Times New Roman"/>
                <w:sz w:val="24"/>
                <w:szCs w:val="24"/>
                <w:lang w:eastAsia="ru-RU"/>
              </w:rPr>
            </w:pPr>
            <w:r>
              <w:rPr>
                <w:rFonts w:eastAsia="Times New Roman"/>
                <w:sz w:val="24"/>
                <w:szCs w:val="24"/>
                <w:lang w:eastAsia="ru-RU"/>
              </w:rPr>
              <w:t>Четвёртый сертификационный уровень (ТРКИ-</w:t>
            </w:r>
            <w:r>
              <w:rPr>
                <w:rFonts w:eastAsia="Times New Roman"/>
                <w:sz w:val="24"/>
                <w:szCs w:val="24"/>
                <w:lang w:val="en-US" w:eastAsia="ru-RU"/>
              </w:rPr>
              <w:t>IV</w:t>
            </w:r>
            <w:r>
              <w:rPr>
                <w:rFonts w:eastAsia="Times New Roman"/>
                <w:sz w:val="24"/>
                <w:szCs w:val="24"/>
                <w:lang w:eastAsia="ru-RU"/>
              </w:rPr>
              <w:t>/C2)</w:t>
            </w:r>
          </w:p>
        </w:tc>
        <w:tc>
          <w:tcPr>
            <w:tcW w:w="3130" w:type="dxa"/>
            <w:tcBorders>
              <w:left w:val="outset" w:sz="6" w:space="0" w:color="000000"/>
              <w:bottom w:val="outset" w:sz="6" w:space="0" w:color="000000"/>
              <w:right w:val="outset" w:sz="6" w:space="0" w:color="000000"/>
            </w:tcBorders>
            <w:vAlign w:val="center"/>
          </w:tcPr>
          <w:p>
            <w:pPr>
              <w:pStyle w:val="Normal"/>
              <w:spacing w:lineRule="auto" w:line="240" w:before="0" w:after="0"/>
              <w:jc w:val="center"/>
              <w:rPr>
                <w:rFonts w:eastAsia="Times New Roman"/>
                <w:sz w:val="24"/>
                <w:szCs w:val="24"/>
                <w:lang w:eastAsia="ru-RU"/>
              </w:rPr>
            </w:pPr>
            <w:r>
              <w:rPr>
                <w:rFonts w:eastAsia="Times New Roman"/>
                <w:sz w:val="24"/>
                <w:szCs w:val="24"/>
                <w:lang w:eastAsia="ru-RU"/>
              </w:rPr>
            </w:r>
          </w:p>
        </w:tc>
      </w:tr>
    </w:tbl>
    <w:p>
      <w:pPr>
        <w:pStyle w:val="Normal"/>
        <w:widowControl w:val="false"/>
        <w:spacing w:lineRule="auto" w:line="271"/>
        <w:jc w:val="center"/>
        <w:rPr>
          <w:sz w:val="24"/>
          <w:szCs w:val="24"/>
        </w:rPr>
      </w:pPr>
      <w:r>
        <w:rPr>
          <w:sz w:val="24"/>
          <w:szCs w:val="24"/>
        </w:rPr>
      </w:r>
    </w:p>
    <w:p>
      <w:pPr>
        <w:pStyle w:val="Normal"/>
        <w:widowControl w:val="false"/>
        <w:spacing w:lineRule="auto" w:line="271"/>
        <w:jc w:val="center"/>
        <w:rPr>
          <w:sz w:val="24"/>
          <w:szCs w:val="24"/>
        </w:rPr>
      </w:pPr>
      <w:r>
        <w:rPr>
          <w:b/>
          <w:bCs/>
          <w:sz w:val="24"/>
          <w:szCs w:val="24"/>
        </w:rPr>
        <w:t>Порядок прохождения Тестирования лицами с ограниченными возможностями</w:t>
      </w:r>
    </w:p>
    <w:p>
      <w:pPr>
        <w:pStyle w:val="Normal"/>
        <w:jc w:val="both"/>
        <w:rPr>
          <w:sz w:val="24"/>
          <w:szCs w:val="24"/>
        </w:rPr>
      </w:pPr>
      <w:r>
        <w:rPr>
          <w:sz w:val="24"/>
          <w:szCs w:val="24"/>
        </w:rPr>
        <w:t>Кандидаты на получение сертификата о прохождении Тестирования по русскому языку с ограниченными возможностями здоровья, имеющие инвалидность, проходят тестирование в индивидуальном порядке.</w:t>
      </w:r>
      <w:r>
        <w:rPr>
          <w:rStyle w:val="Funotenanker"/>
          <w:sz w:val="24"/>
          <w:szCs w:val="24"/>
        </w:rPr>
        <w:footnoteReference w:id="2"/>
      </w:r>
    </w:p>
    <w:p>
      <w:pPr>
        <w:pStyle w:val="Normal"/>
        <w:widowControl w:val="false"/>
        <w:jc w:val="center"/>
        <w:rPr>
          <w:b/>
          <w:b/>
          <w:bCs/>
          <w:sz w:val="24"/>
          <w:szCs w:val="24"/>
        </w:rPr>
      </w:pPr>
      <w:r>
        <w:rPr>
          <w:b/>
          <w:bCs/>
          <w:sz w:val="24"/>
          <w:szCs w:val="24"/>
        </w:rPr>
        <w:t>Материалы для подготовки</w:t>
      </w:r>
    </w:p>
    <w:p>
      <w:pPr>
        <w:pStyle w:val="Normal"/>
        <w:widowControl w:val="false"/>
        <w:jc w:val="both"/>
        <w:rPr>
          <w:bCs/>
          <w:sz w:val="24"/>
          <w:szCs w:val="24"/>
        </w:rPr>
      </w:pPr>
      <w:r>
        <w:rPr>
          <w:bCs/>
          <w:sz w:val="24"/>
          <w:szCs w:val="24"/>
        </w:rPr>
        <w:t xml:space="preserve">Тренировочные тесты для подготовки  для подготовки к государственному тестированию по русскому языку как иностранному  доступны на сайте </w:t>
      </w:r>
      <w:hyperlink r:id="rId7">
        <w:r>
          <w:rPr>
            <w:rStyle w:val="Internetverknpfung"/>
            <w:bCs/>
            <w:sz w:val="24"/>
            <w:szCs w:val="24"/>
          </w:rPr>
          <w:t>СПбГУ</w:t>
        </w:r>
      </w:hyperlink>
      <w:r>
        <w:rPr>
          <w:bCs/>
          <w:sz w:val="24"/>
          <w:szCs w:val="24"/>
        </w:rPr>
        <w:t>.</w:t>
      </w:r>
    </w:p>
    <w:p>
      <w:pPr>
        <w:pStyle w:val="Normal"/>
        <w:widowControl w:val="false"/>
        <w:jc w:val="center"/>
        <w:rPr>
          <w:b/>
          <w:b/>
          <w:bCs/>
          <w:sz w:val="24"/>
          <w:szCs w:val="24"/>
        </w:rPr>
      </w:pPr>
      <w:r>
        <w:rPr>
          <w:b/>
          <w:bCs/>
          <w:sz w:val="24"/>
          <w:szCs w:val="24"/>
        </w:rPr>
        <w:t>Запись на экзамен</w:t>
      </w:r>
    </w:p>
    <w:p>
      <w:pPr>
        <w:pStyle w:val="Normal"/>
        <w:spacing w:lineRule="auto" w:line="240" w:beforeAutospacing="1" w:afterAutospacing="1"/>
        <w:jc w:val="both"/>
        <w:rPr>
          <w:rFonts w:eastAsia="Times New Roman"/>
          <w:sz w:val="24"/>
          <w:szCs w:val="24"/>
          <w:lang w:eastAsia="ru-RU"/>
        </w:rPr>
      </w:pPr>
      <w:r>
        <w:rPr>
          <w:rFonts w:eastAsia="Times New Roman"/>
          <w:bCs/>
          <w:sz w:val="24"/>
          <w:szCs w:val="24"/>
          <w:lang w:eastAsia="ru-RU"/>
        </w:rPr>
        <w:t>Для записи на Тестирование необходимо:</w:t>
      </w:r>
    </w:p>
    <w:p>
      <w:pPr>
        <w:pStyle w:val="Normal"/>
        <w:numPr>
          <w:ilvl w:val="0"/>
          <w:numId w:val="1"/>
        </w:numPr>
        <w:spacing w:lineRule="auto" w:line="240" w:beforeAutospacing="1" w:afterAutospacing="1"/>
        <w:jc w:val="both"/>
        <w:rPr>
          <w:rFonts w:eastAsia="Times New Roman"/>
          <w:sz w:val="24"/>
          <w:szCs w:val="24"/>
          <w:lang w:eastAsia="ru-RU"/>
        </w:rPr>
      </w:pPr>
      <w:r>
        <w:rPr>
          <w:rFonts w:eastAsia="Times New Roman"/>
          <w:sz w:val="24"/>
          <w:szCs w:val="24"/>
          <w:lang w:val="de-DE" w:eastAsia="ru-RU"/>
        </w:rPr>
        <w:t xml:space="preserve">Позвонить по телефону или написать по вацап </w:t>
      </w:r>
      <w:r>
        <w:rPr>
          <w:rFonts w:eastAsia="Times New Roman"/>
          <w:sz w:val="24"/>
          <w:szCs w:val="24"/>
          <w:lang w:eastAsia="ru-RU"/>
        </w:rPr>
        <w:t xml:space="preserve">в </w:t>
      </w:r>
      <w:r>
        <w:rPr>
          <w:rFonts w:eastAsia="Times New Roman"/>
          <w:sz w:val="24"/>
          <w:szCs w:val="24"/>
          <w:lang w:eastAsia="ru-RU"/>
        </w:rPr>
        <w:t>«</w:t>
      </w:r>
      <w:r>
        <w:rPr>
          <w:rFonts w:eastAsia="Times New Roman"/>
          <w:sz w:val="24"/>
          <w:szCs w:val="24"/>
          <w:lang w:val="de-DE" w:eastAsia="ru-RU"/>
        </w:rPr>
        <w:t>ТЕМА Круг друзей русской культуры</w:t>
      </w:r>
      <w:r>
        <w:rPr>
          <w:rFonts w:eastAsia="Times New Roman"/>
          <w:sz w:val="24"/>
          <w:szCs w:val="24"/>
          <w:lang w:val="de-DE" w:eastAsia="ru-RU"/>
        </w:rPr>
        <w:t>»</w:t>
      </w:r>
      <w:r>
        <w:rPr>
          <w:rFonts w:eastAsia="Times New Roman"/>
          <w:sz w:val="24"/>
          <w:szCs w:val="24"/>
          <w:lang w:val="de-DE" w:eastAsia="ru-RU"/>
        </w:rPr>
        <w:t xml:space="preserve"> и получить информацию и назначить встречу. На встречу взять с собой</w:t>
      </w:r>
      <w:r>
        <w:rPr>
          <w:rFonts w:eastAsia="Times New Roman"/>
          <w:sz w:val="24"/>
          <w:szCs w:val="24"/>
          <w:lang w:eastAsia="ru-RU"/>
        </w:rPr>
        <w:t xml:space="preserve"> документ, удостоверяющий личность или иные официальные документы, содержащие сведения по правильному написанию фамилии, имени на русском языке и в латинской транскрипции.</w:t>
      </w:r>
    </w:p>
    <w:p>
      <w:pPr>
        <w:pStyle w:val="Normal"/>
        <w:widowControl w:val="false"/>
        <w:jc w:val="center"/>
        <w:rPr>
          <w:b/>
          <w:b/>
          <w:bCs/>
          <w:sz w:val="24"/>
          <w:szCs w:val="24"/>
        </w:rPr>
      </w:pPr>
      <w:r>
        <w:rPr>
          <w:b/>
          <w:bCs/>
          <w:sz w:val="24"/>
          <w:szCs w:val="24"/>
        </w:rPr>
        <w:t>Контакты</w:t>
      </w:r>
    </w:p>
    <w:p>
      <w:pPr>
        <w:pStyle w:val="Normal"/>
        <w:widowControl w:val="false"/>
        <w:jc w:val="center"/>
        <w:rPr>
          <w:bCs/>
          <w:sz w:val="24"/>
          <w:szCs w:val="24"/>
        </w:rPr>
      </w:pPr>
      <w:r>
        <w:rPr>
          <w:bCs/>
          <w:sz w:val="24"/>
          <w:szCs w:val="24"/>
        </w:rPr>
        <w:t>Центр языкового тестирования Санкт-Петербургского государственного университета:</w:t>
      </w:r>
    </w:p>
    <w:p>
      <w:pPr>
        <w:pStyle w:val="NormalWeb"/>
        <w:spacing w:beforeAutospacing="0" w:before="0" w:afterAutospacing="0" w:after="0"/>
        <w:jc w:val="both"/>
        <w:rPr/>
      </w:pPr>
      <w:r>
        <w:rPr>
          <w:b/>
        </w:rPr>
        <w:t>Адрес:</w:t>
      </w:r>
      <w:r>
        <w:rPr/>
        <w:t xml:space="preserve"> Наб. Лейтенанта Шмидта, 11/2</w:t>
      </w:r>
    </w:p>
    <w:p>
      <w:pPr>
        <w:pStyle w:val="NormalWeb"/>
        <w:spacing w:beforeAutospacing="0" w:before="0" w:afterAutospacing="0" w:after="0"/>
        <w:jc w:val="both"/>
        <w:rPr/>
      </w:pPr>
      <w:r>
        <w:rPr/>
        <w:t>Санкт-Петербург, 199034,</w:t>
      </w:r>
    </w:p>
    <w:p>
      <w:pPr>
        <w:pStyle w:val="NormalWeb"/>
        <w:spacing w:beforeAutospacing="0" w:before="0" w:afterAutospacing="0" w:after="0"/>
        <w:jc w:val="both"/>
        <w:rPr/>
      </w:pPr>
      <w:r>
        <w:rPr/>
        <w:t>Россия.</w:t>
      </w:r>
    </w:p>
    <w:p>
      <w:pPr>
        <w:pStyle w:val="NormalWeb"/>
        <w:spacing w:beforeAutospacing="0" w:before="0" w:afterAutospacing="0" w:after="0"/>
        <w:jc w:val="both"/>
        <w:rPr/>
      </w:pPr>
      <w:r>
        <w:rPr>
          <w:rStyle w:val="Strong"/>
        </w:rPr>
        <w:t>Время работы:</w:t>
      </w:r>
      <w:r>
        <w:rPr/>
        <w:t xml:space="preserve">  будние дни, 09:00 – 18:00</w:t>
      </w:r>
    </w:p>
    <w:p>
      <w:pPr>
        <w:pStyle w:val="NormalWeb"/>
        <w:spacing w:beforeAutospacing="0" w:before="0" w:afterAutospacing="0" w:after="0"/>
        <w:jc w:val="both"/>
        <w:rPr/>
      </w:pPr>
      <w:r>
        <w:rPr>
          <w:rStyle w:val="Strong"/>
        </w:rPr>
        <w:t>Телефон:</w:t>
      </w:r>
      <w:r>
        <w:rPr/>
        <w:t>  (812) 325 11 24</w:t>
      </w:r>
    </w:p>
    <w:p>
      <w:pPr>
        <w:pStyle w:val="NormalWeb"/>
        <w:spacing w:beforeAutospacing="0" w:before="0" w:afterAutospacing="0" w:after="0"/>
        <w:jc w:val="both"/>
        <w:rPr>
          <w:lang w:val="en-US"/>
        </w:rPr>
      </w:pPr>
      <w:r>
        <w:rPr>
          <w:rStyle w:val="Strong"/>
          <w:lang w:val="en-US"/>
        </w:rPr>
        <w:t>E-mail:</w:t>
      </w:r>
      <w:r>
        <w:rPr>
          <w:lang w:val="en-US"/>
        </w:rPr>
        <w:t xml:space="preserve"> </w:t>
      </w:r>
      <w:hyperlink r:id="rId8">
        <w:r>
          <w:rPr>
            <w:rStyle w:val="Internetverknpfung"/>
            <w:lang w:val="en-US"/>
          </w:rPr>
          <w:t>test.language@spbu.ru</w:t>
        </w:r>
      </w:hyperlink>
    </w:p>
    <w:p>
      <w:pPr>
        <w:pStyle w:val="NormalWeb"/>
        <w:spacing w:beforeAutospacing="0" w:before="0" w:afterAutospacing="0" w:after="0"/>
        <w:jc w:val="both"/>
        <w:rPr/>
      </w:pPr>
      <w:r>
        <w:rPr>
          <w:b/>
        </w:rPr>
        <w:t xml:space="preserve">Веб-сайт: </w:t>
      </w:r>
      <w:hyperlink r:id="rId9">
        <w:r>
          <w:rPr>
            <w:rStyle w:val="Internetverknpfung"/>
          </w:rPr>
          <w:t>http://testingcenter.spbu.ru/</w:t>
        </w:r>
      </w:hyperlink>
      <w:r>
        <w:rPr/>
        <w:t xml:space="preserve">  </w:t>
      </w:r>
    </w:p>
    <w:p>
      <w:pPr>
        <w:pStyle w:val="NormalWeb"/>
        <w:spacing w:beforeAutospacing="0" w:before="0" w:afterAutospacing="0" w:after="0"/>
        <w:jc w:val="both"/>
        <w:rPr>
          <w:b/>
          <w:b/>
        </w:rPr>
      </w:pPr>
      <w:r>
        <w:rPr>
          <w:b/>
          <w:lang w:val="en-US"/>
        </w:rPr>
        <w:t>Instagram</w:t>
      </w:r>
      <w:r>
        <w:rPr>
          <w:b/>
        </w:rPr>
        <w:t xml:space="preserve">: </w:t>
      </w:r>
      <w:r>
        <w:rPr>
          <w:lang w:val="en-US"/>
        </w:rPr>
        <w:t>torfl</w:t>
      </w:r>
      <w:r>
        <w:rPr/>
        <w:t>_</w:t>
      </w:r>
      <w:r>
        <w:rPr>
          <w:lang w:val="en-US"/>
        </w:rPr>
        <w:t>spbu</w:t>
      </w:r>
    </w:p>
    <w:p>
      <w:pPr>
        <w:pStyle w:val="NormalWeb"/>
        <w:spacing w:beforeAutospacing="0" w:before="0" w:afterAutospacing="0" w:after="0"/>
        <w:jc w:val="both"/>
        <w:rPr/>
      </w:pPr>
      <w:r>
        <w:rPr/>
      </w:r>
    </w:p>
    <w:p>
      <w:pPr>
        <w:pStyle w:val="NormalWeb"/>
        <w:spacing w:beforeAutospacing="0" w:before="0" w:afterAutospacing="0" w:after="0"/>
        <w:jc w:val="both"/>
        <w:rPr>
          <w:color w:val="333333"/>
          <w:highlight w:val="white"/>
        </w:rPr>
      </w:pPr>
      <w:r>
        <w:rPr>
          <w:shd w:fill="FFFFFF" w:val="clear"/>
        </w:rPr>
        <w:t>Издательство СПбГУ</w:t>
      </w:r>
      <w:r>
        <w:rPr/>
        <w:t xml:space="preserve"> (</w:t>
      </w:r>
      <w:hyperlink r:id="rId10">
        <w:r>
          <w:rPr>
            <w:rStyle w:val="Internetverknpfung"/>
          </w:rPr>
          <w:t>https://publishing.spbu.ru/catalog/periodicheskie_izdaniya/</w:t>
        </w:r>
      </w:hyperlink>
      <w:r>
        <w:rPr/>
        <w:t>)</w:t>
      </w:r>
      <w:r>
        <w:rPr>
          <w:color w:val="333333"/>
          <w:shd w:fill="FFFFFF" w:val="clear"/>
        </w:rPr>
        <w:t>, </w:t>
      </w:r>
    </w:p>
    <w:p>
      <w:pPr>
        <w:pStyle w:val="NormalWeb"/>
        <w:spacing w:beforeAutospacing="0" w:before="0" w:afterAutospacing="0" w:after="0"/>
        <w:jc w:val="both"/>
        <w:rPr>
          <w:color w:val="333333"/>
          <w:highlight w:val="white"/>
        </w:rPr>
      </w:pPr>
      <w:r>
        <w:rPr>
          <w:shd w:fill="FFFFFF" w:val="clear"/>
        </w:rPr>
        <w:t>Виртуальный тур по Университету (</w:t>
      </w:r>
      <w:hyperlink r:id="rId11">
        <w:r>
          <w:rPr>
            <w:rStyle w:val="Internetverknpfung"/>
            <w:highlight w:val="white"/>
          </w:rPr>
          <w:t>https://spbu.ru/virtual_tour</w:t>
        </w:r>
      </w:hyperlink>
      <w:r>
        <w:rPr>
          <w:shd w:fill="FFFFFF" w:val="clear"/>
        </w:rPr>
        <w:t>)</w:t>
      </w:r>
      <w:r>
        <w:rPr>
          <w:color w:val="333333"/>
          <w:shd w:fill="FFFFFF" w:val="clear"/>
        </w:rPr>
        <w:t>, </w:t>
      </w:r>
    </w:p>
    <w:p>
      <w:pPr>
        <w:pStyle w:val="NormalWeb"/>
        <w:spacing w:beforeAutospacing="0" w:before="0" w:afterAutospacing="0" w:after="0"/>
        <w:jc w:val="both"/>
        <w:rPr>
          <w:color w:val="333333"/>
          <w:highlight w:val="white"/>
        </w:rPr>
      </w:pPr>
      <w:r>
        <w:rPr>
          <w:shd w:fill="FFFFFF" w:val="clear"/>
        </w:rPr>
        <w:t>Онлайн курсы СПбГУ (</w:t>
      </w:r>
      <w:hyperlink r:id="rId12">
        <w:r>
          <w:rPr>
            <w:rStyle w:val="Internetverknpfung"/>
            <w:highlight w:val="white"/>
          </w:rPr>
          <w:t>https://online.spbu.ru</w:t>
        </w:r>
      </w:hyperlink>
      <w:r>
        <w:rPr>
          <w:shd w:fill="FFFFFF" w:val="clear"/>
        </w:rPr>
        <w:t>)</w:t>
      </w:r>
      <w:r>
        <w:rPr>
          <w:color w:val="333333"/>
          <w:shd w:fill="FFFFFF" w:val="clear"/>
        </w:rPr>
        <w:t>, </w:t>
      </w:r>
    </w:p>
    <w:p>
      <w:pPr>
        <w:pStyle w:val="Normal"/>
        <w:shd w:val="clear" w:color="auto" w:fill="FFFFFF"/>
        <w:spacing w:before="0" w:after="0"/>
        <w:rPr>
          <w:color w:val="333333"/>
          <w:sz w:val="24"/>
          <w:szCs w:val="24"/>
        </w:rPr>
      </w:pPr>
      <w:r>
        <w:rPr>
          <w:rFonts w:eastAsia="Times New Roman"/>
          <w:sz w:val="24"/>
          <w:szCs w:val="24"/>
          <w:shd w:fill="FFFFFF" w:val="clear"/>
          <w:lang w:eastAsia="ru-RU"/>
        </w:rPr>
        <w:t>ДОП РКИ</w:t>
      </w:r>
      <w:r>
        <w:rPr>
          <w:color w:val="333333"/>
          <w:sz w:val="24"/>
          <w:szCs w:val="24"/>
        </w:rPr>
        <w:t xml:space="preserve"> (</w:t>
      </w:r>
      <w:hyperlink r:id="rId13">
        <w:r>
          <w:rPr>
            <w:rStyle w:val="Internetverknpfung"/>
            <w:sz w:val="24"/>
            <w:szCs w:val="24"/>
          </w:rPr>
          <w:t>https://russian4foreigners.spbu.ru/ru/</w:t>
        </w:r>
      </w:hyperlink>
      <w:r>
        <w:rPr>
          <w:color w:val="333333"/>
          <w:sz w:val="24"/>
          <w:szCs w:val="24"/>
        </w:rPr>
        <w:t>)</w:t>
      </w:r>
    </w:p>
    <w:p>
      <w:pPr>
        <w:pStyle w:val="Normal"/>
        <w:shd w:val="clear" w:color="auto" w:fill="FFFFFF"/>
        <w:spacing w:before="0" w:after="0"/>
        <w:rPr>
          <w:color w:val="333333"/>
          <w:sz w:val="24"/>
          <w:szCs w:val="24"/>
        </w:rPr>
      </w:pPr>
      <w:r>
        <w:rPr>
          <w:rFonts w:eastAsia="Times New Roman"/>
          <w:sz w:val="24"/>
          <w:szCs w:val="24"/>
          <w:shd w:fill="FFFFFF" w:val="clear"/>
          <w:lang w:eastAsia="ru-RU"/>
        </w:rPr>
        <w:t>Приемная комиссия СПбГУ</w:t>
      </w:r>
      <w:r>
        <w:rPr>
          <w:color w:val="333333"/>
          <w:sz w:val="24"/>
          <w:szCs w:val="24"/>
        </w:rPr>
        <w:t xml:space="preserve"> (</w:t>
      </w:r>
      <w:hyperlink r:id="rId14" w:tgtFrame="_blank">
        <w:r>
          <w:rPr>
            <w:rStyle w:val="Internetverknpfung"/>
            <w:sz w:val="24"/>
            <w:szCs w:val="24"/>
          </w:rPr>
          <w:t>https://abiturient.spbu.ru</w:t>
        </w:r>
      </w:hyperlink>
      <w:r>
        <w:rPr>
          <w:color w:val="333333"/>
          <w:sz w:val="24"/>
          <w:szCs w:val="24"/>
        </w:rPr>
        <w:t>) </w:t>
      </w:r>
    </w:p>
    <w:p>
      <w:pPr>
        <w:pStyle w:val="Normal"/>
        <w:shd w:val="clear" w:color="auto" w:fill="FFFFFF"/>
        <w:spacing w:before="0" w:after="0"/>
        <w:rPr>
          <w:color w:val="333333"/>
          <w:sz w:val="24"/>
          <w:szCs w:val="24"/>
        </w:rPr>
      </w:pPr>
      <w:r>
        <w:rPr>
          <w:rFonts w:eastAsia="Times New Roman"/>
          <w:sz w:val="24"/>
          <w:szCs w:val="24"/>
          <w:shd w:fill="FFFFFF" w:val="clear"/>
          <w:lang w:eastAsia="ru-RU"/>
        </w:rPr>
        <w:t>Экспозиции и коллекции СПбГУ</w:t>
      </w:r>
      <w:r>
        <w:rPr>
          <w:color w:val="333333"/>
          <w:sz w:val="24"/>
          <w:szCs w:val="24"/>
        </w:rPr>
        <w:t> (</w:t>
      </w:r>
      <w:hyperlink r:id="rId15" w:tgtFrame="_blank">
        <w:r>
          <w:rPr>
            <w:rStyle w:val="Internetverknpfung"/>
            <w:sz w:val="24"/>
            <w:szCs w:val="24"/>
          </w:rPr>
          <w:t>https://spbu.ru/universitet/ekspozicii-i-kollekcii-spbgu</w:t>
        </w:r>
      </w:hyperlink>
      <w:r>
        <w:rPr>
          <w:rStyle w:val="Internetverknpfung"/>
          <w:color w:val="auto"/>
          <w:u w:val="none"/>
        </w:rPr>
        <w:t>)</w:t>
      </w:r>
    </w:p>
    <w:p>
      <w:pPr>
        <w:pStyle w:val="Normal"/>
        <w:widowControl w:val="false"/>
        <w:jc w:val="center"/>
        <w:rPr>
          <w:bCs/>
          <w:sz w:val="24"/>
          <w:szCs w:val="24"/>
        </w:rPr>
      </w:pPr>
      <w:r>
        <w:rPr>
          <w:bCs/>
          <w:sz w:val="24"/>
          <w:szCs w:val="24"/>
        </w:rPr>
      </w:r>
    </w:p>
    <w:p>
      <w:pPr>
        <w:pStyle w:val="Normal"/>
        <w:widowControl w:val="false"/>
        <w:spacing w:before="0" w:after="0"/>
        <w:jc w:val="center"/>
        <w:rPr>
          <w:bCs/>
          <w:sz w:val="24"/>
          <w:szCs w:val="24"/>
        </w:rPr>
      </w:pPr>
      <w:r>
        <w:rPr>
          <w:bCs/>
          <w:sz w:val="24"/>
          <w:szCs w:val="24"/>
        </w:rPr>
        <w:t>Контакты организации</w:t>
      </w:r>
    </w:p>
    <w:p>
      <w:pPr>
        <w:pStyle w:val="Normal"/>
        <w:widowControl w:val="false"/>
        <w:spacing w:before="0" w:after="0"/>
        <w:rPr>
          <w:b/>
          <w:b/>
          <w:bCs/>
          <w:sz w:val="24"/>
          <w:szCs w:val="24"/>
        </w:rPr>
      </w:pPr>
      <w:r>
        <w:rPr>
          <w:b/>
          <w:bCs/>
          <w:sz w:val="24"/>
          <w:szCs w:val="24"/>
        </w:rPr>
        <w:t>Адрес:</w:t>
      </w:r>
    </w:p>
    <w:p>
      <w:pPr>
        <w:pStyle w:val="Normal"/>
        <w:widowControl w:val="false"/>
        <w:spacing w:before="0" w:after="0"/>
        <w:rPr>
          <w:b/>
          <w:b/>
          <w:bCs/>
          <w:sz w:val="24"/>
          <w:szCs w:val="24"/>
        </w:rPr>
      </w:pPr>
      <w:r>
        <w:rPr>
          <w:b/>
          <w:bCs/>
          <w:sz w:val="24"/>
          <w:szCs w:val="24"/>
        </w:rPr>
        <w:t>Время работы:</w:t>
      </w:r>
      <w:r>
        <w:rPr>
          <w:b/>
          <w:bCs/>
          <w:sz w:val="24"/>
          <w:szCs w:val="24"/>
          <w:lang w:val="de-DE"/>
        </w:rPr>
        <w:t xml:space="preserve"> 16:00-18:00</w:t>
      </w:r>
    </w:p>
    <w:p>
      <w:pPr>
        <w:pStyle w:val="Normal"/>
        <w:widowControl w:val="false"/>
        <w:spacing w:before="0" w:after="0"/>
        <w:rPr>
          <w:b/>
          <w:b/>
          <w:bCs/>
          <w:sz w:val="24"/>
          <w:szCs w:val="24"/>
        </w:rPr>
      </w:pPr>
      <w:r>
        <w:rPr>
          <w:b/>
          <w:bCs/>
          <w:sz w:val="24"/>
          <w:szCs w:val="24"/>
        </w:rPr>
        <w:t xml:space="preserve">Телефон: </w:t>
      </w:r>
      <w:r>
        <w:rPr>
          <w:b/>
          <w:bCs/>
          <w:sz w:val="24"/>
          <w:szCs w:val="24"/>
          <w:lang w:val="de-DE"/>
        </w:rPr>
        <w:t xml:space="preserve">040 25 49 27 99 </w:t>
      </w:r>
    </w:p>
    <w:p>
      <w:pPr>
        <w:pStyle w:val="Normal"/>
        <w:widowControl w:val="false"/>
        <w:spacing w:before="0" w:after="0"/>
        <w:rPr>
          <w:b/>
          <w:b/>
          <w:bCs/>
          <w:sz w:val="24"/>
          <w:szCs w:val="24"/>
        </w:rPr>
      </w:pPr>
      <w:r>
        <w:rPr>
          <w:b/>
          <w:bCs/>
          <w:sz w:val="24"/>
          <w:szCs w:val="24"/>
          <w:lang w:val="de-DE"/>
        </w:rPr>
        <w:t xml:space="preserve">Моб./Вацап: 0179 684 16 27 </w:t>
      </w:r>
    </w:p>
    <w:p>
      <w:pPr>
        <w:pStyle w:val="Normal"/>
        <w:widowControl w:val="false"/>
        <w:spacing w:before="0" w:after="0"/>
        <w:rPr>
          <w:b/>
          <w:b/>
          <w:bCs/>
          <w:sz w:val="24"/>
          <w:szCs w:val="24"/>
          <w:lang w:val="de-DE"/>
        </w:rPr>
      </w:pPr>
      <w:r>
        <w:rPr>
          <w:b/>
          <w:bCs/>
          <w:sz w:val="24"/>
          <w:szCs w:val="24"/>
          <w:lang w:val="de-DE"/>
        </w:rPr>
      </w:r>
    </w:p>
    <w:p>
      <w:pPr>
        <w:pStyle w:val="Normal"/>
        <w:widowControl w:val="false"/>
        <w:spacing w:lineRule="auto" w:line="271"/>
        <w:jc w:val="both"/>
        <w:rPr>
          <w:sz w:val="24"/>
          <w:szCs w:val="24"/>
        </w:rPr>
      </w:pPr>
      <w:r>
        <w:rPr>
          <w:sz w:val="24"/>
          <w:szCs w:val="24"/>
        </w:rPr>
      </w:r>
    </w:p>
    <w:p>
      <w:pPr>
        <w:pStyle w:val="Normal"/>
        <w:widowControl w:val="false"/>
        <w:spacing w:lineRule="auto" w:line="271"/>
        <w:jc w:val="center"/>
        <w:rPr>
          <w:b/>
          <w:b/>
          <w:bCs/>
          <w:sz w:val="24"/>
          <w:szCs w:val="24"/>
        </w:rPr>
      </w:pPr>
      <w:r>
        <w:rPr>
          <w:b/>
          <w:bCs/>
          <w:sz w:val="24"/>
          <w:szCs w:val="24"/>
        </w:rPr>
      </w:r>
    </w:p>
    <w:p>
      <w:pPr>
        <w:pStyle w:val="Normal"/>
        <w:widowControl w:val="false"/>
        <w:spacing w:lineRule="auto" w:line="271"/>
        <w:jc w:val="center"/>
        <w:rPr>
          <w:b/>
          <w:b/>
          <w:bCs/>
          <w:sz w:val="24"/>
          <w:szCs w:val="24"/>
        </w:rPr>
      </w:pPr>
      <w:r>
        <w:rPr>
          <w:b/>
          <w:bCs/>
          <w:sz w:val="24"/>
          <w:szCs w:val="24"/>
        </w:rPr>
      </w:r>
    </w:p>
    <w:p>
      <w:pPr>
        <w:pStyle w:val="Normal"/>
        <w:widowControl w:val="false"/>
        <w:spacing w:lineRule="auto" w:line="271"/>
        <w:jc w:val="center"/>
        <w:rPr>
          <w:b/>
          <w:b/>
          <w:bCs/>
          <w:sz w:val="24"/>
          <w:szCs w:val="24"/>
        </w:rPr>
      </w:pPr>
      <w:r>
        <w:rPr>
          <w:b/>
          <w:bCs/>
          <w:sz w:val="24"/>
          <w:szCs w:val="24"/>
        </w:rPr>
      </w:r>
    </w:p>
    <w:p>
      <w:pPr>
        <w:pStyle w:val="Normal"/>
        <w:widowControl w:val="false"/>
        <w:spacing w:lineRule="auto" w:line="271" w:before="0" w:after="200"/>
        <w:jc w:val="center"/>
        <w:rPr>
          <w:b/>
          <w:b/>
          <w:bCs/>
          <w:sz w:val="24"/>
          <w:szCs w:val="24"/>
        </w:rPr>
      </w:pPr>
      <w:r>
        <w:rPr/>
      </w:r>
    </w:p>
    <w:sectPr>
      <w:headerReference w:type="default" r:id="rId16"/>
      <w:footnotePr>
        <w:numFmt w:val="decimal"/>
      </w:footnotePr>
      <w:type w:val="nextPage"/>
      <w:pgSz w:w="11906" w:h="16838"/>
      <w:pgMar w:left="1134" w:right="1133" w:header="227" w:top="2410"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Calibri">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unote"/>
        <w:rPr/>
      </w:pPr>
      <w:r>
        <w:rPr>
          <w:rStyle w:val="Funotenzeichen"/>
        </w:rPr>
        <w:footnoteRef/>
      </w:r>
      <w:r>
        <w:rPr/>
        <w:t xml:space="preserve"> </w:t>
      </w:r>
      <w:r>
        <w:rPr/>
        <w:t>Согласно правилам, установленным в организации</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ind w:left="-1134" w:hanging="0"/>
      <w:rPr/>
    </w:pPr>
    <w:r>
      <w:rPr/>
      <w:drawing>
        <wp:inline distT="0" distB="0" distL="0" distR="0">
          <wp:extent cx="7559675" cy="1254760"/>
          <wp:effectExtent l="0" t="0" r="0" b="0"/>
          <wp:docPr id="1" name="Рисунок 2" descr="шапка_ЧБ_2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шапка_ЧБ_2а"/>
                  <pic:cNvPicPr>
                    <a:picLocks noChangeAspect="1" noChangeArrowheads="1"/>
                  </pic:cNvPicPr>
                </pic:nvPicPr>
                <pic:blipFill>
                  <a:blip r:embed="rId1"/>
                  <a:stretch>
                    <a:fillRect/>
                  </a:stretch>
                </pic:blipFill>
                <pic:spPr bwMode="auto">
                  <a:xfrm>
                    <a:off x="0" y="0"/>
                    <a:ext cx="7559675" cy="125476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5215"/>
    <w:pPr>
      <w:widowControl/>
      <w:bidi w:val="0"/>
      <w:spacing w:lineRule="auto" w:line="276" w:before="0" w:after="200"/>
      <w:jc w:val="left"/>
    </w:pPr>
    <w:rPr>
      <w:rFonts w:ascii="Times New Roman" w:hAnsi="Times New Roman" w:eastAsia="Calibri" w:cs="Times New Roman"/>
      <w:color w:val="auto"/>
      <w:kern w:val="0"/>
      <w:sz w:val="22"/>
      <w:szCs w:val="22"/>
      <w:lang w:eastAsia="en-US" w:val="ru-RU" w:bidi="ar-SA"/>
    </w:rPr>
  </w:style>
  <w:style w:type="paragraph" w:styleId="Berschrift3">
    <w:name w:val="Heading 3"/>
    <w:basedOn w:val="Normal"/>
    <w:link w:val="30"/>
    <w:uiPriority w:val="9"/>
    <w:qFormat/>
    <w:rsid w:val="008e4e8e"/>
    <w:pPr>
      <w:spacing w:lineRule="auto" w:line="240" w:beforeAutospacing="1" w:afterAutospacing="1"/>
      <w:outlineLvl w:val="2"/>
    </w:pPr>
    <w:rPr>
      <w:rFonts w:eastAsia="Times New Roman"/>
      <w:b/>
      <w:bCs/>
      <w:sz w:val="27"/>
      <w:szCs w:val="27"/>
      <w:lang w:eastAsia="ru-RU"/>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link w:val="a3"/>
    <w:uiPriority w:val="99"/>
    <w:qFormat/>
    <w:rsid w:val="00347981"/>
    <w:rPr/>
  </w:style>
  <w:style w:type="character" w:styleId="Style14" w:customStyle="1">
    <w:name w:val="Нижний колонтитул Знак"/>
    <w:basedOn w:val="DefaultParagraphFont"/>
    <w:link w:val="a5"/>
    <w:uiPriority w:val="99"/>
    <w:qFormat/>
    <w:rsid w:val="00347981"/>
    <w:rPr/>
  </w:style>
  <w:style w:type="character" w:styleId="Style15" w:customStyle="1">
    <w:name w:val="Текст выноски Знак"/>
    <w:link w:val="a7"/>
    <w:uiPriority w:val="99"/>
    <w:semiHidden/>
    <w:qFormat/>
    <w:rsid w:val="00347981"/>
    <w:rPr>
      <w:rFonts w:ascii="Tahoma" w:hAnsi="Tahoma" w:cs="Tahoma"/>
      <w:sz w:val="16"/>
      <w:szCs w:val="16"/>
    </w:rPr>
  </w:style>
  <w:style w:type="character" w:styleId="Internetverknpfung">
    <w:name w:val="Internetverknüpfung"/>
    <w:uiPriority w:val="99"/>
    <w:unhideWhenUsed/>
    <w:rsid w:val="00347981"/>
    <w:rPr>
      <w:color w:val="0000FF"/>
      <w:u w:val="single"/>
    </w:rPr>
  </w:style>
  <w:style w:type="character" w:styleId="3" w:customStyle="1">
    <w:name w:val="Заголовок 3 Знак"/>
    <w:link w:val="3"/>
    <w:uiPriority w:val="9"/>
    <w:qFormat/>
    <w:rsid w:val="008e4e8e"/>
    <w:rPr>
      <w:rFonts w:eastAsia="Times New Roman"/>
      <w:b/>
      <w:bCs/>
      <w:sz w:val="27"/>
      <w:szCs w:val="27"/>
    </w:rPr>
  </w:style>
  <w:style w:type="character" w:styleId="Mwheadline" w:customStyle="1">
    <w:name w:val="mw-headline"/>
    <w:qFormat/>
    <w:rsid w:val="008e4e8e"/>
    <w:rPr/>
  </w:style>
  <w:style w:type="character" w:styleId="Strong">
    <w:name w:val="Strong"/>
    <w:uiPriority w:val="22"/>
    <w:qFormat/>
    <w:rsid w:val="00740670"/>
    <w:rPr>
      <w:b/>
      <w:bCs/>
    </w:rPr>
  </w:style>
  <w:style w:type="character" w:styleId="Style16" w:customStyle="1">
    <w:name w:val="Текст сноски Знак"/>
    <w:link w:val="ac"/>
    <w:uiPriority w:val="99"/>
    <w:semiHidden/>
    <w:qFormat/>
    <w:rsid w:val="00740670"/>
    <w:rPr>
      <w:rFonts w:ascii="Calibri" w:hAnsi="Calibri"/>
      <w:lang w:eastAsia="en-US"/>
    </w:rPr>
  </w:style>
  <w:style w:type="character" w:styleId="Funotenanker">
    <w:name w:val="Fußnotenanker"/>
    <w:rPr>
      <w:vertAlign w:val="superscript"/>
    </w:rPr>
  </w:style>
  <w:style w:type="character" w:styleId="FootnoteCharacters">
    <w:name w:val="Footnote Characters"/>
    <w:uiPriority w:val="99"/>
    <w:semiHidden/>
    <w:unhideWhenUsed/>
    <w:qFormat/>
    <w:rsid w:val="00740670"/>
    <w:rPr>
      <w:vertAlign w:val="superscript"/>
    </w:rPr>
  </w:style>
  <w:style w:type="character" w:styleId="BesuchteInternetverknpfung">
    <w:name w:val="Besuchte Internetverknüpfung"/>
    <w:basedOn w:val="DefaultParagraphFont"/>
    <w:uiPriority w:val="99"/>
    <w:semiHidden/>
    <w:unhideWhenUsed/>
    <w:rsid w:val="003e3df2"/>
    <w:rPr>
      <w:color w:val="800080" w:themeColor="followedHyperlink"/>
      <w:u w:val="single"/>
    </w:rPr>
  </w:style>
  <w:style w:type="character" w:styleId="Funotenzeichen">
    <w:name w:val="Fußnotenzeichen"/>
    <w:qForma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undFuzeile">
    <w:name w:val="Kopf- und Fußzeile"/>
    <w:basedOn w:val="Normal"/>
    <w:qFormat/>
    <w:pPr/>
    <w:rPr/>
  </w:style>
  <w:style w:type="paragraph" w:styleId="Kopfzeile">
    <w:name w:val="Header"/>
    <w:basedOn w:val="Normal"/>
    <w:link w:val="a4"/>
    <w:uiPriority w:val="99"/>
    <w:unhideWhenUsed/>
    <w:rsid w:val="00347981"/>
    <w:pPr>
      <w:tabs>
        <w:tab w:val="clear" w:pos="708"/>
        <w:tab w:val="center" w:pos="4677" w:leader="none"/>
        <w:tab w:val="right" w:pos="9355" w:leader="none"/>
      </w:tabs>
      <w:spacing w:lineRule="auto" w:line="240" w:before="0" w:after="0"/>
    </w:pPr>
    <w:rPr/>
  </w:style>
  <w:style w:type="paragraph" w:styleId="Fuzeile">
    <w:name w:val="Footer"/>
    <w:basedOn w:val="Normal"/>
    <w:link w:val="a6"/>
    <w:uiPriority w:val="99"/>
    <w:unhideWhenUsed/>
    <w:rsid w:val="00347981"/>
    <w:pPr>
      <w:tabs>
        <w:tab w:val="clear" w:pos="708"/>
        <w:tab w:val="center" w:pos="4677" w:leader="none"/>
        <w:tab w:val="right" w:pos="9355" w:leader="none"/>
      </w:tabs>
      <w:spacing w:lineRule="auto" w:line="240" w:before="0" w:after="0"/>
    </w:pPr>
    <w:rPr/>
  </w:style>
  <w:style w:type="paragraph" w:styleId="BalloonText">
    <w:name w:val="Balloon Text"/>
    <w:basedOn w:val="Normal"/>
    <w:link w:val="a8"/>
    <w:uiPriority w:val="99"/>
    <w:semiHidden/>
    <w:unhideWhenUsed/>
    <w:qFormat/>
    <w:rsid w:val="00347981"/>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347981"/>
    <w:pPr>
      <w:spacing w:lineRule="auto" w:line="240" w:beforeAutospacing="1" w:afterAutospacing="1"/>
    </w:pPr>
    <w:rPr>
      <w:rFonts w:eastAsia="Times New Roman"/>
      <w:sz w:val="24"/>
      <w:szCs w:val="24"/>
      <w:lang w:eastAsia="ru-RU"/>
    </w:rPr>
  </w:style>
  <w:style w:type="paragraph" w:styleId="Funote">
    <w:name w:val="Footnote Text"/>
    <w:basedOn w:val="Normal"/>
    <w:link w:val="ad"/>
    <w:uiPriority w:val="99"/>
    <w:semiHidden/>
    <w:unhideWhenUsed/>
    <w:rsid w:val="00740670"/>
    <w:pPr>
      <w:spacing w:lineRule="auto" w:line="240" w:before="0" w:after="0"/>
    </w:pPr>
    <w:rPr>
      <w:rFonts w:ascii="Calibri" w:hAnsi="Calibri"/>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nline.spbu.ru/" TargetMode="External"/><Relationship Id="rId3" Type="http://schemas.openxmlformats.org/officeDocument/2006/relationships/hyperlink" Target="https://spbu.ru/virtual_tour" TargetMode="External"/><Relationship Id="rId4" Type="http://schemas.openxmlformats.org/officeDocument/2006/relationships/hyperlink" Target="https://spbu.ru/universitet/ekspozicii-i-kollekcii-spbgu" TargetMode="External"/><Relationship Id="rId5" Type="http://schemas.openxmlformats.org/officeDocument/2006/relationships/hyperlink" Target="https://publishing.spbu.ru/catalog/periodicheskie_izdaniya/" TargetMode="External"/><Relationship Id="rId6" Type="http://schemas.openxmlformats.org/officeDocument/2006/relationships/hyperlink" Target="https://russian4foreigners.spbu.ru/ru/" TargetMode="External"/><Relationship Id="rId7" Type="http://schemas.openxmlformats.org/officeDocument/2006/relationships/hyperlink" Target="https://testingcenter.spbu.ru/materials.html" TargetMode="External"/><Relationship Id="rId8" Type="http://schemas.openxmlformats.org/officeDocument/2006/relationships/hyperlink" Target="mailto:test.language@spbu.ru" TargetMode="External"/><Relationship Id="rId9" Type="http://schemas.openxmlformats.org/officeDocument/2006/relationships/hyperlink" Target="http://testingcenter.spbu.ru/" TargetMode="External"/><Relationship Id="rId10" Type="http://schemas.openxmlformats.org/officeDocument/2006/relationships/hyperlink" Target="https://publishing.spbu.ru/catalog/periodicheskie_izdaniya/" TargetMode="External"/><Relationship Id="rId11" Type="http://schemas.openxmlformats.org/officeDocument/2006/relationships/hyperlink" Target="https://spbu.ru/virtual_tour" TargetMode="External"/><Relationship Id="rId12" Type="http://schemas.openxmlformats.org/officeDocument/2006/relationships/hyperlink" Target="https://online.spbu.ru/" TargetMode="External"/><Relationship Id="rId13" Type="http://schemas.openxmlformats.org/officeDocument/2006/relationships/hyperlink" Target="https://russian4foreigners.spbu.ru/ru/" TargetMode="External"/><Relationship Id="rId14" Type="http://schemas.openxmlformats.org/officeDocument/2006/relationships/hyperlink" Target="https://abiturient.spbu.ru/" TargetMode="External"/><Relationship Id="rId15" Type="http://schemas.openxmlformats.org/officeDocument/2006/relationships/hyperlink" Target="https://spbu.ru/universitet/ekspozicii-i-kollekcii-spbgu" TargetMode="External"/><Relationship Id="rId16" Type="http://schemas.openxmlformats.org/officeDocument/2006/relationships/header" Target="header1.xml"/><Relationship Id="rId17" Type="http://schemas.openxmlformats.org/officeDocument/2006/relationships/footnotes" Target="footnotes.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2B6D8-F2F1-4477-8F1B-B80D4D5AF81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LibreOffice/6.4.7.2$Linux_X86_64 LibreOffice_project/40$Build-2</Application>
  <Pages>5</Pages>
  <Words>1055</Words>
  <Characters>7978</Characters>
  <CharactersWithSpaces>8980</CharactersWithSpaces>
  <Paragraphs>78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2021-05-09T03:10:00Z</dcterms:created>
  <dc:creator>st900279</dc:creator>
  <dc:description/>
  <dc:language>de-DE</dc:language>
  <cp:lastModifiedBy/>
  <cp:lastPrinted>2021-02-12T14:11:00Z</cp:lastPrinted>
  <dcterms:modified xsi:type="dcterms:W3CDTF">2021-05-09T17:07:27Z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